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CBF61" w14:textId="77777777" w:rsidR="00F3143B" w:rsidRPr="00B72BC9" w:rsidRDefault="00F3143B" w:rsidP="002E5B9E">
      <w:pPr>
        <w:jc w:val="center"/>
        <w:rPr>
          <w:rFonts w:ascii="Arial" w:hAnsi="Arial" w:cs="Arial"/>
          <w:sz w:val="20"/>
          <w:szCs w:val="20"/>
        </w:rPr>
      </w:pPr>
    </w:p>
    <w:p w14:paraId="4FB6AB07" w14:textId="77777777" w:rsidR="00AD3F62" w:rsidRPr="00B72BC9" w:rsidRDefault="00AD3F62" w:rsidP="002E5B9E">
      <w:pPr>
        <w:jc w:val="center"/>
        <w:rPr>
          <w:rFonts w:ascii="Arial" w:hAnsi="Arial" w:cs="Arial"/>
          <w:sz w:val="20"/>
          <w:szCs w:val="20"/>
        </w:rPr>
      </w:pPr>
    </w:p>
    <w:p w14:paraId="2DCC0DA1" w14:textId="77777777" w:rsidR="00AD3F62" w:rsidRPr="00B72BC9" w:rsidRDefault="00AD3F62" w:rsidP="002E5B9E">
      <w:pPr>
        <w:jc w:val="center"/>
        <w:rPr>
          <w:rFonts w:ascii="Arial" w:hAnsi="Arial" w:cs="Arial"/>
          <w:sz w:val="20"/>
          <w:szCs w:val="20"/>
        </w:rPr>
      </w:pPr>
    </w:p>
    <w:p w14:paraId="08339270" w14:textId="77777777" w:rsidR="00AD3F62" w:rsidRPr="00B72BC9" w:rsidRDefault="00AD3F62" w:rsidP="002E5B9E">
      <w:pPr>
        <w:jc w:val="center"/>
        <w:rPr>
          <w:rFonts w:ascii="Arial" w:hAnsi="Arial" w:cs="Arial"/>
          <w:sz w:val="20"/>
          <w:szCs w:val="20"/>
        </w:rPr>
      </w:pPr>
    </w:p>
    <w:p w14:paraId="3D8587F6" w14:textId="77777777" w:rsidR="00A843BB" w:rsidRPr="00690D64" w:rsidRDefault="00D577AB" w:rsidP="00A843BB">
      <w:pPr>
        <w:rPr>
          <w:rFonts w:ascii="Arial" w:hAnsi="Arial" w:cs="Arial"/>
          <w:b/>
          <w:sz w:val="20"/>
          <w:szCs w:val="20"/>
        </w:rPr>
      </w:pPr>
      <w:r>
        <w:rPr>
          <w:rFonts w:ascii="Arial" w:hAnsi="Arial" w:cs="Arial"/>
          <w:b/>
          <w:sz w:val="20"/>
          <w:szCs w:val="20"/>
        </w:rPr>
        <w:t>Process Document - 4</w:t>
      </w:r>
    </w:p>
    <w:p w14:paraId="46BDC7D3" w14:textId="77777777" w:rsidR="00AD3F62" w:rsidRPr="00B72BC9" w:rsidRDefault="00AD3F62" w:rsidP="002E5B9E">
      <w:pPr>
        <w:jc w:val="center"/>
        <w:rPr>
          <w:rFonts w:ascii="Arial" w:hAnsi="Arial" w:cs="Arial"/>
          <w:sz w:val="20"/>
          <w:szCs w:val="20"/>
        </w:rPr>
      </w:pPr>
    </w:p>
    <w:p w14:paraId="79A7D339" w14:textId="77777777" w:rsidR="00787F5A" w:rsidRPr="00B72BC9" w:rsidRDefault="00787F5A" w:rsidP="002E5B9E">
      <w:pPr>
        <w:jc w:val="center"/>
        <w:rPr>
          <w:rFonts w:ascii="Arial" w:hAnsi="Arial" w:cs="Arial"/>
          <w:sz w:val="20"/>
          <w:szCs w:val="20"/>
        </w:rPr>
      </w:pPr>
    </w:p>
    <w:p w14:paraId="365F2F4A" w14:textId="77777777" w:rsidR="00AA6F1E" w:rsidRPr="00B72BC9" w:rsidRDefault="00AA6F1E" w:rsidP="002E5B9E">
      <w:pPr>
        <w:jc w:val="center"/>
        <w:rPr>
          <w:rFonts w:ascii="Arial" w:hAnsi="Arial" w:cs="Arial"/>
          <w:sz w:val="20"/>
          <w:szCs w:val="20"/>
        </w:rPr>
      </w:pPr>
    </w:p>
    <w:p w14:paraId="7CA5EDD7" w14:textId="77777777" w:rsidR="00AA6F1E" w:rsidRPr="003A5359" w:rsidRDefault="004044C3" w:rsidP="002E5B9E">
      <w:pPr>
        <w:jc w:val="center"/>
        <w:rPr>
          <w:rFonts w:ascii="Arial" w:hAnsi="Arial" w:cs="Arial"/>
          <w:b/>
          <w:color w:val="E31837" w:themeColor="background2"/>
          <w:sz w:val="48"/>
          <w:szCs w:val="48"/>
        </w:rPr>
      </w:pPr>
      <w:r w:rsidRPr="003A5359">
        <w:rPr>
          <w:rFonts w:ascii="Arial" w:hAnsi="Arial" w:cs="Arial"/>
          <w:b/>
          <w:bCs/>
          <w:color w:val="E31837" w:themeColor="background2"/>
          <w:sz w:val="48"/>
          <w:szCs w:val="48"/>
        </w:rPr>
        <w:t>V</w:t>
      </w:r>
      <w:r w:rsidR="002C0751" w:rsidRPr="003A5359">
        <w:rPr>
          <w:rFonts w:ascii="Arial" w:hAnsi="Arial" w:cs="Arial"/>
          <w:b/>
          <w:bCs/>
          <w:color w:val="E31837" w:themeColor="background2"/>
          <w:sz w:val="48"/>
          <w:szCs w:val="48"/>
        </w:rPr>
        <w:t xml:space="preserve">ulnerability </w:t>
      </w:r>
      <w:r w:rsidRPr="003A5359">
        <w:rPr>
          <w:rFonts w:ascii="Arial" w:hAnsi="Arial" w:cs="Arial"/>
          <w:b/>
          <w:bCs/>
          <w:color w:val="E31837" w:themeColor="background2"/>
          <w:sz w:val="48"/>
          <w:szCs w:val="48"/>
        </w:rPr>
        <w:t>A</w:t>
      </w:r>
      <w:r w:rsidR="003A5359">
        <w:rPr>
          <w:rFonts w:ascii="Arial" w:hAnsi="Arial" w:cs="Arial"/>
          <w:b/>
          <w:bCs/>
          <w:color w:val="E31837" w:themeColor="background2"/>
          <w:sz w:val="48"/>
          <w:szCs w:val="48"/>
        </w:rPr>
        <w:t xml:space="preserve">ssessment </w:t>
      </w:r>
      <w:r w:rsidR="002C0CA7">
        <w:rPr>
          <w:rFonts w:ascii="Arial" w:hAnsi="Arial" w:cs="Arial"/>
          <w:b/>
          <w:bCs/>
          <w:color w:val="E31837" w:themeColor="background2"/>
          <w:sz w:val="48"/>
          <w:szCs w:val="48"/>
        </w:rPr>
        <w:t>Process</w:t>
      </w:r>
    </w:p>
    <w:p w14:paraId="04A247A5" w14:textId="77777777" w:rsidR="00AD3F62" w:rsidRPr="00B72BC9" w:rsidRDefault="00AD3F62" w:rsidP="002E5B9E">
      <w:pPr>
        <w:jc w:val="center"/>
        <w:rPr>
          <w:rFonts w:ascii="Arial" w:hAnsi="Arial" w:cs="Arial"/>
          <w:sz w:val="20"/>
          <w:szCs w:val="20"/>
        </w:rPr>
      </w:pPr>
    </w:p>
    <w:p w14:paraId="60A34634" w14:textId="77777777" w:rsidR="00787F5A" w:rsidRPr="00B72BC9" w:rsidRDefault="00787F5A" w:rsidP="002E5B9E">
      <w:pPr>
        <w:jc w:val="center"/>
        <w:rPr>
          <w:rFonts w:ascii="Arial" w:hAnsi="Arial" w:cs="Arial"/>
          <w:sz w:val="20"/>
          <w:szCs w:val="20"/>
        </w:rPr>
      </w:pPr>
    </w:p>
    <w:p w14:paraId="72C91ABF" w14:textId="77777777" w:rsidR="00787F5A" w:rsidRPr="00B72BC9" w:rsidRDefault="00787F5A" w:rsidP="002E5B9E">
      <w:pPr>
        <w:jc w:val="center"/>
        <w:rPr>
          <w:rFonts w:ascii="Arial" w:hAnsi="Arial" w:cs="Arial"/>
          <w:sz w:val="20"/>
          <w:szCs w:val="20"/>
        </w:rPr>
      </w:pPr>
    </w:p>
    <w:p w14:paraId="2813F3C5" w14:textId="77777777" w:rsidR="00787F5A" w:rsidRPr="00B72BC9" w:rsidRDefault="00787F5A" w:rsidP="002E5B9E">
      <w:pPr>
        <w:jc w:val="center"/>
        <w:rPr>
          <w:rFonts w:ascii="Arial" w:hAnsi="Arial" w:cs="Arial"/>
          <w:sz w:val="20"/>
          <w:szCs w:val="20"/>
        </w:rPr>
      </w:pPr>
    </w:p>
    <w:p w14:paraId="207B9314" w14:textId="77777777"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9B6D40" w:rsidRPr="00E0512E" w14:paraId="2D6644BE" w14:textId="77777777" w:rsidTr="00831419">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14:paraId="3FC616D2" w14:textId="77777777" w:rsidR="009B6D40" w:rsidRPr="00E0512E" w:rsidRDefault="009B6D40" w:rsidP="00831419">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AB22D0" w:rsidRPr="00E0512E" w14:paraId="7821F466" w14:textId="77777777" w:rsidTr="00581287">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14:paraId="4767E751" w14:textId="77777777" w:rsidR="00AB22D0" w:rsidRPr="00AB22D0" w:rsidRDefault="00AB22D0" w:rsidP="00831419">
            <w:pPr>
              <w:spacing w:after="0"/>
              <w:rPr>
                <w:rFonts w:asciiTheme="minorHAnsi" w:hAnsiTheme="minorHAnsi" w:cs="Arial"/>
                <w:b/>
              </w:rPr>
            </w:pPr>
            <w:r w:rsidRPr="00AB22D0">
              <w:rPr>
                <w:rFonts w:asciiTheme="minorHAnsi" w:hAnsiTheme="minorHAnsi" w:cs="Arial"/>
                <w:b/>
              </w:rPr>
              <w:t>For Airtel Money Environment only</w:t>
            </w:r>
          </w:p>
        </w:tc>
      </w:tr>
      <w:tr w:rsidR="00AB22D0" w:rsidRPr="00E0512E" w14:paraId="62A2A5C6" w14:textId="77777777" w:rsidTr="00831419">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49A9F56D" w14:textId="77777777" w:rsidR="00AB22D0" w:rsidRPr="00E0512E" w:rsidRDefault="00AB22D0" w:rsidP="007B4024">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1839208E" w14:textId="77777777" w:rsidR="00AB22D0" w:rsidRPr="00E0512E" w:rsidRDefault="00AB22D0" w:rsidP="007B4024">
            <w:pPr>
              <w:spacing w:after="0"/>
              <w:rPr>
                <w:rFonts w:asciiTheme="minorHAnsi" w:hAnsiTheme="minorHAnsi" w:cs="Arial"/>
              </w:rPr>
            </w:pPr>
            <w:r w:rsidRPr="00E0512E">
              <w:rPr>
                <w:rFonts w:asciiTheme="minorHAnsi" w:hAnsiTheme="minorHAnsi" w:cs="Arial"/>
              </w:rPr>
              <w:t>Vulnerability Assessment Process</w:t>
            </w:r>
          </w:p>
        </w:tc>
      </w:tr>
      <w:tr w:rsidR="00AB22D0" w:rsidRPr="00E0512E" w14:paraId="324F8FE9" w14:textId="77777777" w:rsidTr="00831419">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14BE93FE" w14:textId="77777777" w:rsidR="00AB22D0" w:rsidRPr="00E0512E" w:rsidRDefault="00AB22D0" w:rsidP="00831419">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6E4042CC" w14:textId="76EF59E2" w:rsidR="00AB22D0" w:rsidRPr="00E0512E" w:rsidRDefault="00AB22D0" w:rsidP="009B6D40">
            <w:pPr>
              <w:spacing w:after="0"/>
              <w:rPr>
                <w:rFonts w:asciiTheme="minorHAnsi" w:hAnsiTheme="minorHAnsi" w:cs="Arial"/>
              </w:rPr>
            </w:pPr>
          </w:p>
        </w:tc>
      </w:tr>
      <w:tr w:rsidR="00AB22D0" w:rsidRPr="00E0512E" w14:paraId="69DEECC9" w14:textId="77777777" w:rsidTr="00831419">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3150A49A" w14:textId="77777777" w:rsidR="00AB22D0" w:rsidRPr="00E0512E" w:rsidRDefault="00AB22D0" w:rsidP="00831419">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7DC7824E" w14:textId="57583CBE" w:rsidR="00AB22D0" w:rsidRPr="00E0512E" w:rsidRDefault="00AB22D0" w:rsidP="00D577AB">
            <w:pPr>
              <w:spacing w:after="0"/>
              <w:rPr>
                <w:rFonts w:asciiTheme="minorHAnsi" w:hAnsiTheme="minorHAnsi" w:cs="Arial"/>
              </w:rPr>
            </w:pPr>
          </w:p>
        </w:tc>
      </w:tr>
      <w:tr w:rsidR="00AB22D0" w:rsidRPr="00E0512E" w14:paraId="27B97045" w14:textId="77777777" w:rsidTr="00831419">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14:paraId="282EBE00" w14:textId="77777777" w:rsidR="00AB22D0" w:rsidRPr="00E0512E" w:rsidRDefault="00AB22D0" w:rsidP="00831419">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14:paraId="243BDDD1" w14:textId="6F1F38C9" w:rsidR="00AB22D0" w:rsidRPr="00E0512E" w:rsidRDefault="00AB22D0" w:rsidP="00D577AB">
            <w:pPr>
              <w:spacing w:after="0"/>
              <w:rPr>
                <w:rFonts w:asciiTheme="minorHAnsi" w:hAnsiTheme="minorHAnsi" w:cs="Arial"/>
              </w:rPr>
            </w:pPr>
          </w:p>
        </w:tc>
      </w:tr>
      <w:tr w:rsidR="00AB22D0" w:rsidRPr="00E0512E" w14:paraId="27AED744" w14:textId="77777777" w:rsidTr="00831419">
        <w:trPr>
          <w:trHeight w:val="342"/>
          <w:jc w:val="center"/>
        </w:trPr>
        <w:tc>
          <w:tcPr>
            <w:tcW w:w="2011" w:type="dxa"/>
            <w:tcBorders>
              <w:top w:val="nil"/>
              <w:left w:val="single" w:sz="4" w:space="0" w:color="auto"/>
              <w:bottom w:val="nil"/>
              <w:right w:val="nil"/>
            </w:tcBorders>
            <w:shd w:val="clear" w:color="auto" w:fill="auto"/>
            <w:noWrap/>
            <w:vAlign w:val="center"/>
          </w:tcPr>
          <w:p w14:paraId="1014DCA3" w14:textId="77777777" w:rsidR="00AB22D0" w:rsidRPr="00E0512E" w:rsidRDefault="00AB22D0" w:rsidP="00831419">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11D54" w14:textId="77777777" w:rsidR="00AB22D0" w:rsidRPr="00E0512E" w:rsidRDefault="00AB22D0" w:rsidP="00831419">
            <w:pPr>
              <w:spacing w:after="0"/>
              <w:rPr>
                <w:rFonts w:asciiTheme="minorHAnsi" w:hAnsiTheme="minorHAnsi" w:cs="Arial"/>
              </w:rPr>
            </w:pPr>
          </w:p>
        </w:tc>
      </w:tr>
    </w:tbl>
    <w:tbl>
      <w:tblPr>
        <w:tblStyle w:val="TableGrid"/>
        <w:tblW w:w="9250" w:type="dxa"/>
        <w:jc w:val="center"/>
        <w:tblLook w:val="04A0" w:firstRow="1" w:lastRow="0" w:firstColumn="1" w:lastColumn="0" w:noHBand="0" w:noVBand="1"/>
      </w:tblPr>
      <w:tblGrid>
        <w:gridCol w:w="1123"/>
        <w:gridCol w:w="1505"/>
        <w:gridCol w:w="2224"/>
        <w:gridCol w:w="2180"/>
        <w:gridCol w:w="2218"/>
      </w:tblGrid>
      <w:tr w:rsidR="009B6D40" w14:paraId="7F0D5011" w14:textId="77777777" w:rsidTr="00831419">
        <w:trPr>
          <w:jc w:val="center"/>
        </w:trPr>
        <w:tc>
          <w:tcPr>
            <w:tcW w:w="9250" w:type="dxa"/>
            <w:gridSpan w:val="5"/>
            <w:tcBorders>
              <w:bottom w:val="single" w:sz="4" w:space="0" w:color="000000" w:themeColor="text1"/>
            </w:tcBorders>
            <w:shd w:val="clear" w:color="auto" w:fill="7B7E82" w:themeFill="accent2" w:themeFillShade="BF"/>
          </w:tcPr>
          <w:p w14:paraId="79850492" w14:textId="77777777" w:rsidR="009B6D40" w:rsidRPr="00F9465F" w:rsidRDefault="009B6D40" w:rsidP="00831419">
            <w:pPr>
              <w:jc w:val="center"/>
              <w:rPr>
                <w:b/>
                <w:color w:val="FFFFFF" w:themeColor="background1"/>
              </w:rPr>
            </w:pPr>
            <w:r>
              <w:rPr>
                <w:b/>
                <w:color w:val="FFFFFF" w:themeColor="background1"/>
              </w:rPr>
              <w:t xml:space="preserve">Document </w:t>
            </w:r>
            <w:r w:rsidRPr="00F9465F">
              <w:rPr>
                <w:b/>
                <w:color w:val="FFFFFF" w:themeColor="background1"/>
              </w:rPr>
              <w:t>Version Control</w:t>
            </w:r>
          </w:p>
        </w:tc>
      </w:tr>
      <w:tr w:rsidR="009B6D40" w14:paraId="056E4DD4" w14:textId="77777777" w:rsidTr="00831419">
        <w:trPr>
          <w:jc w:val="center"/>
        </w:trPr>
        <w:tc>
          <w:tcPr>
            <w:tcW w:w="1123" w:type="dxa"/>
            <w:shd w:val="clear" w:color="auto" w:fill="CACBCD" w:themeFill="accent2" w:themeFillTint="99"/>
          </w:tcPr>
          <w:p w14:paraId="3CC5A645" w14:textId="77777777" w:rsidR="009B6D40" w:rsidRPr="00F9465F" w:rsidRDefault="009B6D40" w:rsidP="00831419">
            <w:pPr>
              <w:jc w:val="center"/>
              <w:rPr>
                <w:b/>
                <w:color w:val="FFFFFF" w:themeColor="background1"/>
              </w:rPr>
            </w:pPr>
            <w:r w:rsidRPr="00F9465F">
              <w:rPr>
                <w:b/>
                <w:color w:val="FFFFFF" w:themeColor="background1"/>
              </w:rPr>
              <w:t>Version</w:t>
            </w:r>
          </w:p>
        </w:tc>
        <w:tc>
          <w:tcPr>
            <w:tcW w:w="1505" w:type="dxa"/>
            <w:shd w:val="clear" w:color="auto" w:fill="CACBCD" w:themeFill="accent2" w:themeFillTint="99"/>
          </w:tcPr>
          <w:p w14:paraId="058875EB" w14:textId="77777777" w:rsidR="009B6D40" w:rsidRPr="00F9465F" w:rsidRDefault="009B6D40" w:rsidP="00831419">
            <w:pPr>
              <w:jc w:val="center"/>
              <w:rPr>
                <w:b/>
                <w:color w:val="FFFFFF" w:themeColor="background1"/>
              </w:rPr>
            </w:pPr>
            <w:r w:rsidRPr="00F9465F">
              <w:rPr>
                <w:b/>
                <w:color w:val="FFFFFF" w:themeColor="background1"/>
              </w:rPr>
              <w:t>Date</w:t>
            </w:r>
          </w:p>
        </w:tc>
        <w:tc>
          <w:tcPr>
            <w:tcW w:w="2224" w:type="dxa"/>
            <w:shd w:val="clear" w:color="auto" w:fill="CACBCD" w:themeFill="accent2" w:themeFillTint="99"/>
          </w:tcPr>
          <w:p w14:paraId="5F206B78" w14:textId="77777777" w:rsidR="009B6D40" w:rsidRPr="00F9465F" w:rsidRDefault="009B6D40" w:rsidP="00831419">
            <w:pPr>
              <w:jc w:val="center"/>
              <w:rPr>
                <w:b/>
                <w:color w:val="FFFFFF" w:themeColor="background1"/>
              </w:rPr>
            </w:pPr>
            <w:r w:rsidRPr="00F9465F">
              <w:rPr>
                <w:b/>
                <w:color w:val="FFFFFF" w:themeColor="background1"/>
              </w:rPr>
              <w:t>Prepared By</w:t>
            </w:r>
          </w:p>
        </w:tc>
        <w:tc>
          <w:tcPr>
            <w:tcW w:w="2180" w:type="dxa"/>
            <w:shd w:val="clear" w:color="auto" w:fill="CACBCD" w:themeFill="accent2" w:themeFillTint="99"/>
          </w:tcPr>
          <w:p w14:paraId="79C7D626" w14:textId="77777777" w:rsidR="009B6D40" w:rsidRPr="00F9465F" w:rsidRDefault="009B6D40" w:rsidP="00831419">
            <w:pPr>
              <w:jc w:val="center"/>
              <w:rPr>
                <w:b/>
                <w:color w:val="FFFFFF" w:themeColor="background1"/>
              </w:rPr>
            </w:pPr>
            <w:r w:rsidRPr="00F9465F">
              <w:rPr>
                <w:b/>
                <w:color w:val="FFFFFF" w:themeColor="background1"/>
              </w:rPr>
              <w:t>Reviewed By</w:t>
            </w:r>
          </w:p>
        </w:tc>
        <w:tc>
          <w:tcPr>
            <w:tcW w:w="2218" w:type="dxa"/>
            <w:shd w:val="clear" w:color="auto" w:fill="CACBCD" w:themeFill="accent2" w:themeFillTint="99"/>
          </w:tcPr>
          <w:p w14:paraId="026F5DCE" w14:textId="77777777" w:rsidR="009B6D40" w:rsidRPr="00F9465F" w:rsidRDefault="009B6D40" w:rsidP="00831419">
            <w:pPr>
              <w:jc w:val="center"/>
              <w:rPr>
                <w:b/>
                <w:color w:val="FFFFFF" w:themeColor="background1"/>
              </w:rPr>
            </w:pPr>
            <w:r w:rsidRPr="00F9465F">
              <w:rPr>
                <w:b/>
                <w:color w:val="FFFFFF" w:themeColor="background1"/>
              </w:rPr>
              <w:t>Approved By</w:t>
            </w:r>
          </w:p>
        </w:tc>
      </w:tr>
      <w:tr w:rsidR="009B6D40" w14:paraId="2B2E04F3" w14:textId="77777777" w:rsidTr="00831419">
        <w:trPr>
          <w:jc w:val="center"/>
        </w:trPr>
        <w:tc>
          <w:tcPr>
            <w:tcW w:w="1123" w:type="dxa"/>
          </w:tcPr>
          <w:p w14:paraId="73AC7503" w14:textId="721B0F8F" w:rsidR="009B6D40" w:rsidRDefault="009B6D40" w:rsidP="00831419">
            <w:pPr>
              <w:jc w:val="center"/>
            </w:pPr>
          </w:p>
        </w:tc>
        <w:tc>
          <w:tcPr>
            <w:tcW w:w="1505" w:type="dxa"/>
          </w:tcPr>
          <w:p w14:paraId="3A11F15C" w14:textId="1BD26936" w:rsidR="009B6D40" w:rsidRDefault="009B6D40" w:rsidP="00831419"/>
        </w:tc>
        <w:tc>
          <w:tcPr>
            <w:tcW w:w="2224" w:type="dxa"/>
          </w:tcPr>
          <w:p w14:paraId="5D653C19" w14:textId="77777777" w:rsidR="009B6D40" w:rsidRDefault="009B6D40" w:rsidP="00831419"/>
        </w:tc>
        <w:tc>
          <w:tcPr>
            <w:tcW w:w="2180" w:type="dxa"/>
          </w:tcPr>
          <w:p w14:paraId="0FBF7795" w14:textId="77777777" w:rsidR="009B6D40" w:rsidRDefault="009B6D40" w:rsidP="00831419"/>
        </w:tc>
        <w:tc>
          <w:tcPr>
            <w:tcW w:w="2218" w:type="dxa"/>
          </w:tcPr>
          <w:p w14:paraId="3F5B4334" w14:textId="77777777" w:rsidR="009B6D40" w:rsidRDefault="009B6D40" w:rsidP="00831419"/>
        </w:tc>
      </w:tr>
      <w:tr w:rsidR="009B6D40" w14:paraId="2EFDA053" w14:textId="77777777" w:rsidTr="00831419">
        <w:trPr>
          <w:jc w:val="center"/>
        </w:trPr>
        <w:tc>
          <w:tcPr>
            <w:tcW w:w="1123" w:type="dxa"/>
          </w:tcPr>
          <w:p w14:paraId="1F8096B3" w14:textId="77777777" w:rsidR="009B6D40" w:rsidRDefault="009B6D40" w:rsidP="00831419"/>
        </w:tc>
        <w:tc>
          <w:tcPr>
            <w:tcW w:w="1505" w:type="dxa"/>
          </w:tcPr>
          <w:p w14:paraId="23222240" w14:textId="77777777" w:rsidR="009B6D40" w:rsidRDefault="009B6D40" w:rsidP="00831419"/>
        </w:tc>
        <w:tc>
          <w:tcPr>
            <w:tcW w:w="2224" w:type="dxa"/>
          </w:tcPr>
          <w:p w14:paraId="6F88C731" w14:textId="77777777" w:rsidR="009B6D40" w:rsidRDefault="009B6D40" w:rsidP="00831419"/>
        </w:tc>
        <w:tc>
          <w:tcPr>
            <w:tcW w:w="2180" w:type="dxa"/>
          </w:tcPr>
          <w:p w14:paraId="6D4E89C0" w14:textId="77777777" w:rsidR="009B6D40" w:rsidRDefault="009B6D40" w:rsidP="00831419"/>
        </w:tc>
        <w:tc>
          <w:tcPr>
            <w:tcW w:w="2218" w:type="dxa"/>
          </w:tcPr>
          <w:p w14:paraId="79077AC4" w14:textId="77777777" w:rsidR="009B6D40" w:rsidRDefault="009B6D40" w:rsidP="00831419"/>
        </w:tc>
      </w:tr>
    </w:tbl>
    <w:p w14:paraId="52FC5203" w14:textId="77777777" w:rsidR="00C37DD4" w:rsidRDefault="00C37DD4" w:rsidP="001553C8">
      <w:pPr>
        <w:spacing w:before="240" w:after="0"/>
        <w:rPr>
          <w:rFonts w:ascii="Arial" w:hAnsi="Arial" w:cs="Arial"/>
          <w:b/>
          <w:color w:val="E31837" w:themeColor="background2"/>
          <w:sz w:val="36"/>
          <w:szCs w:val="36"/>
        </w:rPr>
      </w:pPr>
    </w:p>
    <w:p w14:paraId="34E33055" w14:textId="77777777" w:rsidR="00C37DD4" w:rsidRDefault="00C37DD4" w:rsidP="001553C8">
      <w:pPr>
        <w:spacing w:before="240" w:after="0"/>
        <w:rPr>
          <w:rFonts w:ascii="Arial" w:hAnsi="Arial" w:cs="Arial"/>
          <w:b/>
          <w:color w:val="E31837" w:themeColor="background2"/>
          <w:sz w:val="36"/>
          <w:szCs w:val="36"/>
        </w:rPr>
      </w:pPr>
    </w:p>
    <w:p w14:paraId="0AC1EE4B" w14:textId="77777777" w:rsidR="00D263FF" w:rsidRPr="00B72BC9" w:rsidRDefault="00D263FF" w:rsidP="001553C8">
      <w:pPr>
        <w:spacing w:before="240" w:after="0"/>
        <w:rPr>
          <w:rFonts w:ascii="Arial" w:hAnsi="Arial" w:cs="Arial"/>
          <w:b/>
          <w:color w:val="E31837" w:themeColor="background2"/>
          <w:sz w:val="36"/>
          <w:szCs w:val="36"/>
        </w:rPr>
      </w:pPr>
    </w:p>
    <w:p w14:paraId="4CDF7CAD" w14:textId="77777777"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lastRenderedPageBreak/>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14:paraId="34BED2FD" w14:textId="77777777" w:rsidR="008767F0" w:rsidRPr="00B72BC9" w:rsidRDefault="008767F0">
          <w:pPr>
            <w:pStyle w:val="TOCHeading"/>
            <w:rPr>
              <w:rFonts w:ascii="Arial" w:hAnsi="Arial" w:cs="Arial"/>
            </w:rPr>
          </w:pPr>
        </w:p>
        <w:p w14:paraId="17B0FB18" w14:textId="77777777" w:rsidR="00F26425" w:rsidRPr="003608A9" w:rsidRDefault="00013FAD">
          <w:pPr>
            <w:pStyle w:val="TOC1"/>
            <w:rPr>
              <w:rStyle w:val="Hyperlink"/>
              <w:rFonts w:eastAsia="Calibri"/>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49291856" w:history="1">
            <w:r w:rsidR="00F26425" w:rsidRPr="003608A9">
              <w:rPr>
                <w:rStyle w:val="Hyperlink"/>
                <w:rFonts w:eastAsia="Calibri"/>
              </w:rPr>
              <w:t>1.</w:t>
            </w:r>
            <w:r w:rsidR="00833E34" w:rsidRPr="003608A9">
              <w:rPr>
                <w:rStyle w:val="Hyperlink"/>
                <w:rFonts w:eastAsia="Calibri"/>
              </w:rPr>
              <w:t>0</w:t>
            </w:r>
            <w:r w:rsidR="00F26425" w:rsidRPr="003608A9">
              <w:rPr>
                <w:rStyle w:val="Hyperlink"/>
                <w:rFonts w:eastAsia="Calibri"/>
              </w:rPr>
              <w:tab/>
            </w:r>
            <w:r w:rsidR="00833E34" w:rsidRPr="003608A9">
              <w:rPr>
                <w:rStyle w:val="Hyperlink"/>
                <w:rFonts w:eastAsia="Calibri"/>
              </w:rPr>
              <w:t>Introduction</w:t>
            </w:r>
            <w:r w:rsidR="00F26425" w:rsidRPr="003608A9">
              <w:rPr>
                <w:rStyle w:val="Hyperlink"/>
                <w:rFonts w:eastAsia="Calibri"/>
                <w:webHidden/>
              </w:rPr>
              <w:tab/>
            </w:r>
            <w:r w:rsidRPr="003608A9">
              <w:rPr>
                <w:rStyle w:val="Hyperlink"/>
                <w:rFonts w:eastAsia="Calibri"/>
                <w:webHidden/>
              </w:rPr>
              <w:fldChar w:fldCharType="begin"/>
            </w:r>
            <w:r w:rsidR="00F26425" w:rsidRPr="003608A9">
              <w:rPr>
                <w:rStyle w:val="Hyperlink"/>
                <w:rFonts w:eastAsia="Calibri"/>
                <w:webHidden/>
              </w:rPr>
              <w:instrText xml:space="preserve"> PAGEREF _Toc349291856 \h </w:instrText>
            </w:r>
            <w:r w:rsidRPr="003608A9">
              <w:rPr>
                <w:rStyle w:val="Hyperlink"/>
                <w:rFonts w:eastAsia="Calibri"/>
                <w:webHidden/>
              </w:rPr>
            </w:r>
            <w:r w:rsidRPr="003608A9">
              <w:rPr>
                <w:rStyle w:val="Hyperlink"/>
                <w:rFonts w:eastAsia="Calibri"/>
                <w:webHidden/>
              </w:rPr>
              <w:fldChar w:fldCharType="separate"/>
            </w:r>
            <w:r w:rsidR="00F26425" w:rsidRPr="003608A9">
              <w:rPr>
                <w:rStyle w:val="Hyperlink"/>
                <w:rFonts w:eastAsia="Calibri"/>
                <w:webHidden/>
              </w:rPr>
              <w:t>3</w:t>
            </w:r>
            <w:r w:rsidRPr="003608A9">
              <w:rPr>
                <w:rStyle w:val="Hyperlink"/>
                <w:rFonts w:eastAsia="Calibri"/>
                <w:webHidden/>
              </w:rPr>
              <w:fldChar w:fldCharType="end"/>
            </w:r>
          </w:hyperlink>
        </w:p>
        <w:p w14:paraId="7B9D909F" w14:textId="77777777" w:rsidR="00833E34" w:rsidRPr="003608A9" w:rsidRDefault="009672CD" w:rsidP="00833E34">
          <w:pPr>
            <w:pStyle w:val="TOC1"/>
            <w:rPr>
              <w:rStyle w:val="Hyperlink"/>
              <w:rFonts w:eastAsia="Calibri"/>
            </w:rPr>
          </w:pPr>
          <w:hyperlink w:anchor="_Toc349291857" w:history="1">
            <w:r w:rsidR="00F26425" w:rsidRPr="003608A9">
              <w:rPr>
                <w:rStyle w:val="Hyperlink"/>
                <w:rFonts w:eastAsia="Calibri"/>
              </w:rPr>
              <w:t>2.</w:t>
            </w:r>
            <w:r w:rsidR="00833E34" w:rsidRPr="003608A9">
              <w:rPr>
                <w:rStyle w:val="Hyperlink"/>
                <w:rFonts w:eastAsia="Calibri"/>
              </w:rPr>
              <w:t>0</w:t>
            </w:r>
            <w:r w:rsidR="00F26425" w:rsidRPr="003608A9">
              <w:rPr>
                <w:rStyle w:val="Hyperlink"/>
                <w:rFonts w:eastAsia="Calibri"/>
              </w:rPr>
              <w:tab/>
            </w:r>
            <w:r w:rsidR="00833E34" w:rsidRPr="003608A9">
              <w:rPr>
                <w:rStyle w:val="Hyperlink"/>
                <w:rFonts w:eastAsia="Calibri"/>
              </w:rPr>
              <w:t>Scope</w:t>
            </w:r>
            <w:r w:rsidR="00F26425" w:rsidRPr="003608A9">
              <w:rPr>
                <w:rStyle w:val="Hyperlink"/>
                <w:rFonts w:eastAsia="Calibri"/>
                <w:webHidden/>
              </w:rPr>
              <w:tab/>
            </w:r>
            <w:r w:rsidR="00910C69">
              <w:rPr>
                <w:rStyle w:val="Hyperlink"/>
                <w:rFonts w:eastAsia="Calibri"/>
                <w:webHidden/>
              </w:rPr>
              <w:t>3</w:t>
            </w:r>
          </w:hyperlink>
        </w:p>
        <w:p w14:paraId="66C219D9" w14:textId="77777777" w:rsidR="00833E34" w:rsidRPr="003608A9" w:rsidRDefault="009672CD" w:rsidP="00833E34">
          <w:pPr>
            <w:pStyle w:val="TOC1"/>
            <w:rPr>
              <w:rStyle w:val="Hyperlink"/>
              <w:rFonts w:eastAsia="Calibri"/>
            </w:rPr>
          </w:pPr>
          <w:hyperlink w:anchor="_Toc349563918" w:history="1">
            <w:r w:rsidR="00833E34" w:rsidRPr="003608A9">
              <w:rPr>
                <w:rStyle w:val="Hyperlink"/>
                <w:rFonts w:eastAsia="Calibri"/>
              </w:rPr>
              <w:t>3.0</w:t>
            </w:r>
            <w:r w:rsidR="00833E34" w:rsidRPr="003608A9">
              <w:rPr>
                <w:rStyle w:val="Hyperlink"/>
                <w:rFonts w:eastAsia="Calibri"/>
              </w:rPr>
              <w:tab/>
              <w:t>Vulnerability Assessment Process</w:t>
            </w:r>
            <w:r w:rsidR="00833E34" w:rsidRPr="003608A9">
              <w:rPr>
                <w:rStyle w:val="Hyperlink"/>
                <w:rFonts w:eastAsia="Calibri"/>
                <w:webHidden/>
              </w:rPr>
              <w:tab/>
            </w:r>
            <w:r w:rsidR="00910C69">
              <w:rPr>
                <w:rStyle w:val="Hyperlink"/>
                <w:rFonts w:eastAsia="Calibri"/>
                <w:webHidden/>
              </w:rPr>
              <w:t>4</w:t>
            </w:r>
          </w:hyperlink>
        </w:p>
        <w:p w14:paraId="3F667DDD" w14:textId="77777777" w:rsidR="00833E34" w:rsidRPr="003608A9" w:rsidRDefault="009672CD" w:rsidP="00833E34">
          <w:pPr>
            <w:pStyle w:val="TOC1"/>
            <w:rPr>
              <w:rStyle w:val="Hyperlink"/>
              <w:rFonts w:eastAsia="Calibri"/>
            </w:rPr>
          </w:pPr>
          <w:hyperlink w:anchor="_Toc349563919" w:history="1">
            <w:r w:rsidR="00833E34" w:rsidRPr="003608A9">
              <w:rPr>
                <w:rStyle w:val="Hyperlink"/>
                <w:rFonts w:eastAsia="Calibri"/>
              </w:rPr>
              <w:t>4.0</w:t>
            </w:r>
            <w:r w:rsidR="00833E34" w:rsidRPr="003608A9">
              <w:rPr>
                <w:rStyle w:val="Hyperlink"/>
                <w:rFonts w:eastAsia="Calibri"/>
              </w:rPr>
              <w:tab/>
            </w:r>
            <w:r w:rsidR="00910C69" w:rsidRPr="00910C69">
              <w:rPr>
                <w:rStyle w:val="Hyperlink"/>
                <w:rFonts w:eastAsia="Calibri"/>
              </w:rPr>
              <w:t>Vulnerability Assessment Procedure</w:t>
            </w:r>
            <w:r w:rsidR="00833E34" w:rsidRPr="003608A9">
              <w:rPr>
                <w:rStyle w:val="Hyperlink"/>
                <w:rFonts w:eastAsia="Calibri"/>
                <w:webHidden/>
              </w:rPr>
              <w:tab/>
            </w:r>
            <w:r w:rsidR="00910C69">
              <w:rPr>
                <w:rStyle w:val="Hyperlink"/>
                <w:rFonts w:eastAsia="Calibri"/>
                <w:webHidden/>
              </w:rPr>
              <w:t>5</w:t>
            </w:r>
          </w:hyperlink>
        </w:p>
        <w:p w14:paraId="59F74D91" w14:textId="77777777" w:rsidR="00833E34" w:rsidRPr="003608A9" w:rsidRDefault="009672CD" w:rsidP="00833E34">
          <w:pPr>
            <w:pStyle w:val="TOC1"/>
            <w:rPr>
              <w:color w:val="6D6E71" w:themeColor="hyperlink"/>
              <w:u w:val="single"/>
              <w:lang w:val="en-AU"/>
            </w:rPr>
          </w:pPr>
          <w:hyperlink w:anchor="_Toc349563920" w:history="1">
            <w:r w:rsidR="00833E34" w:rsidRPr="003608A9">
              <w:rPr>
                <w:rStyle w:val="Hyperlink"/>
                <w:rFonts w:eastAsia="Calibri"/>
              </w:rPr>
              <w:t xml:space="preserve">5.0 </w:t>
            </w:r>
            <w:r w:rsidR="00910C69" w:rsidRPr="00910C69">
              <w:rPr>
                <w:rStyle w:val="Hyperlink"/>
                <w:rFonts w:eastAsia="Calibri"/>
              </w:rPr>
              <w:t>Roles &amp; Responsibilities</w:t>
            </w:r>
            <w:r w:rsidR="00833E34" w:rsidRPr="003608A9">
              <w:rPr>
                <w:rStyle w:val="Hyperlink"/>
                <w:rFonts w:eastAsia="Calibri"/>
                <w:webHidden/>
              </w:rPr>
              <w:tab/>
            </w:r>
            <w:r w:rsidR="00013FAD" w:rsidRPr="003608A9">
              <w:rPr>
                <w:rStyle w:val="Hyperlink"/>
                <w:rFonts w:eastAsia="Calibri"/>
                <w:webHidden/>
              </w:rPr>
              <w:fldChar w:fldCharType="begin"/>
            </w:r>
            <w:r w:rsidR="00833E34" w:rsidRPr="003608A9">
              <w:rPr>
                <w:rStyle w:val="Hyperlink"/>
                <w:rFonts w:eastAsia="Calibri"/>
                <w:webHidden/>
              </w:rPr>
              <w:instrText xml:space="preserve"> PAGEREF _Toc349563920 \h </w:instrText>
            </w:r>
            <w:r w:rsidR="00013FAD" w:rsidRPr="003608A9">
              <w:rPr>
                <w:rStyle w:val="Hyperlink"/>
                <w:rFonts w:eastAsia="Calibri"/>
                <w:webHidden/>
              </w:rPr>
            </w:r>
            <w:r w:rsidR="00013FAD" w:rsidRPr="003608A9">
              <w:rPr>
                <w:rStyle w:val="Hyperlink"/>
                <w:rFonts w:eastAsia="Calibri"/>
                <w:webHidden/>
              </w:rPr>
              <w:fldChar w:fldCharType="separate"/>
            </w:r>
            <w:r w:rsidR="00833E34" w:rsidRPr="003608A9">
              <w:rPr>
                <w:rStyle w:val="Hyperlink"/>
                <w:rFonts w:eastAsia="Calibri"/>
                <w:webHidden/>
              </w:rPr>
              <w:t>7</w:t>
            </w:r>
            <w:r w:rsidR="00013FAD" w:rsidRPr="003608A9">
              <w:rPr>
                <w:rStyle w:val="Hyperlink"/>
                <w:rFonts w:eastAsia="Calibri"/>
                <w:webHidden/>
              </w:rPr>
              <w:fldChar w:fldCharType="end"/>
            </w:r>
          </w:hyperlink>
        </w:p>
        <w:p w14:paraId="7F679C0C" w14:textId="77777777" w:rsidR="00833E34" w:rsidRPr="00833E34" w:rsidRDefault="009672CD" w:rsidP="00833E34">
          <w:pPr>
            <w:pStyle w:val="TOC1"/>
          </w:pPr>
          <w:hyperlink w:anchor="_Toc349563921" w:history="1">
            <w:r w:rsidR="00833E34">
              <w:rPr>
                <w:rStyle w:val="Hyperlink"/>
              </w:rPr>
              <w:t>6</w:t>
            </w:r>
            <w:r w:rsidR="00833E34" w:rsidRPr="00833E34">
              <w:rPr>
                <w:rStyle w:val="Hyperlink"/>
              </w:rPr>
              <w:t>.</w:t>
            </w:r>
            <w:r w:rsidR="00833E34">
              <w:rPr>
                <w:rStyle w:val="Hyperlink"/>
              </w:rPr>
              <w:t>0</w:t>
            </w:r>
            <w:r w:rsidR="00833E34" w:rsidRPr="00833E34">
              <w:rPr>
                <w:rStyle w:val="Hyperlink"/>
              </w:rPr>
              <w:t xml:space="preserve"> Vulnerability Assessment</w:t>
            </w:r>
            <w:r w:rsidR="00833E34" w:rsidRPr="00833E34">
              <w:rPr>
                <w:rStyle w:val="Hyperlink"/>
                <w:rFonts w:eastAsia="Calibri"/>
              </w:rPr>
              <w:t xml:space="preserve"> Report</w:t>
            </w:r>
            <w:r w:rsidR="00833E34" w:rsidRPr="00833E34">
              <w:rPr>
                <w:rStyle w:val="Hyperlink"/>
                <w:webHidden/>
              </w:rPr>
              <w:tab/>
            </w:r>
            <w:r w:rsidR="00910C69">
              <w:rPr>
                <w:rStyle w:val="Hyperlink"/>
                <w:webHidden/>
              </w:rPr>
              <w:t>8</w:t>
            </w:r>
          </w:hyperlink>
        </w:p>
        <w:p w14:paraId="44DA7989" w14:textId="77777777" w:rsidR="00833E34" w:rsidRPr="00833E34" w:rsidRDefault="00013FAD" w:rsidP="00833E34">
          <w:pPr>
            <w:pStyle w:val="TOC1"/>
          </w:pPr>
          <w:r w:rsidRPr="00B72BC9">
            <w:rPr>
              <w:rFonts w:ascii="Arial" w:hAnsi="Arial"/>
            </w:rPr>
            <w:fldChar w:fldCharType="end"/>
          </w:r>
          <w:hyperlink w:anchor="_Toc349560309" w:history="1">
            <w:r w:rsidR="00833E34">
              <w:t>7</w:t>
            </w:r>
            <w:r w:rsidR="00833E34" w:rsidRPr="00833E34">
              <w:t>.</w:t>
            </w:r>
            <w:r w:rsidR="00053316">
              <w:t>0</w:t>
            </w:r>
            <w:r w:rsidR="00833E34" w:rsidRPr="00833E34">
              <w:tab/>
              <w:t>Performance Metrics and Benchmarks</w:t>
            </w:r>
            <w:r w:rsidR="00833E34" w:rsidRPr="00833E34">
              <w:rPr>
                <w:webHidden/>
              </w:rPr>
              <w:tab/>
            </w:r>
            <w:r w:rsidR="00910C69">
              <w:rPr>
                <w:webHidden/>
              </w:rPr>
              <w:t>8</w:t>
            </w:r>
          </w:hyperlink>
        </w:p>
        <w:p w14:paraId="0C755C4E" w14:textId="77777777" w:rsidR="00833E34" w:rsidRPr="00833E34" w:rsidRDefault="009672CD" w:rsidP="00833E34">
          <w:pPr>
            <w:pStyle w:val="TOC1"/>
          </w:pPr>
          <w:hyperlink w:anchor="_Toc349560310" w:history="1">
            <w:r w:rsidR="00053316">
              <w:t>7</w:t>
            </w:r>
            <w:r w:rsidR="00833E34" w:rsidRPr="00833E34">
              <w:t>.1 KPI</w:t>
            </w:r>
            <w:r w:rsidR="00833E34" w:rsidRPr="00833E34">
              <w:rPr>
                <w:webHidden/>
              </w:rPr>
              <w:tab/>
            </w:r>
            <w:r w:rsidR="00910C69">
              <w:rPr>
                <w:webHidden/>
              </w:rPr>
              <w:t>8</w:t>
            </w:r>
          </w:hyperlink>
        </w:p>
        <w:p w14:paraId="0D62E685" w14:textId="77777777" w:rsidR="00833E34" w:rsidRPr="00833E34" w:rsidRDefault="009672CD" w:rsidP="00833E34">
          <w:pPr>
            <w:pStyle w:val="TOC1"/>
          </w:pPr>
          <w:hyperlink w:anchor="_Toc349560311" w:history="1">
            <w:r w:rsidR="00053316">
              <w:t>7</w:t>
            </w:r>
            <w:r w:rsidR="00833E34" w:rsidRPr="00833E34">
              <w:t>.2 Vendor SLAs</w:t>
            </w:r>
            <w:r w:rsidR="00833E34" w:rsidRPr="00833E34">
              <w:rPr>
                <w:webHidden/>
              </w:rPr>
              <w:tab/>
            </w:r>
            <w:r w:rsidR="00013FAD" w:rsidRPr="00833E34">
              <w:rPr>
                <w:webHidden/>
              </w:rPr>
              <w:fldChar w:fldCharType="begin"/>
            </w:r>
            <w:r w:rsidR="00833E34" w:rsidRPr="00833E34">
              <w:rPr>
                <w:webHidden/>
              </w:rPr>
              <w:instrText xml:space="preserve"> PAGEREF _Toc349560311 \h </w:instrText>
            </w:r>
            <w:r w:rsidR="00013FAD" w:rsidRPr="00833E34">
              <w:rPr>
                <w:webHidden/>
              </w:rPr>
            </w:r>
            <w:r w:rsidR="00013FAD" w:rsidRPr="00833E34">
              <w:rPr>
                <w:webHidden/>
              </w:rPr>
              <w:fldChar w:fldCharType="separate"/>
            </w:r>
            <w:r w:rsidR="00833E34" w:rsidRPr="00833E34">
              <w:rPr>
                <w:webHidden/>
              </w:rPr>
              <w:t>8</w:t>
            </w:r>
            <w:r w:rsidR="00013FAD" w:rsidRPr="00833E34">
              <w:rPr>
                <w:webHidden/>
              </w:rPr>
              <w:fldChar w:fldCharType="end"/>
            </w:r>
          </w:hyperlink>
        </w:p>
        <w:p w14:paraId="2632290D" w14:textId="77777777" w:rsidR="008767F0" w:rsidRPr="00B72BC9" w:rsidRDefault="009672CD">
          <w:pPr>
            <w:rPr>
              <w:rFonts w:ascii="Arial" w:hAnsi="Arial" w:cs="Arial"/>
            </w:rPr>
          </w:pPr>
        </w:p>
      </w:sdtContent>
    </w:sdt>
    <w:p w14:paraId="6D5D9C0E" w14:textId="77777777" w:rsidR="00F2704F" w:rsidRPr="00B72BC9" w:rsidRDefault="00F2704F" w:rsidP="001553C8">
      <w:pPr>
        <w:tabs>
          <w:tab w:val="right" w:pos="8280"/>
        </w:tabs>
        <w:spacing w:before="240" w:after="0"/>
        <w:rPr>
          <w:rFonts w:ascii="Arial" w:hAnsi="Arial" w:cs="Arial"/>
          <w:color w:val="6D6E71" w:themeColor="text2"/>
          <w:sz w:val="20"/>
          <w:szCs w:val="20"/>
        </w:rPr>
      </w:pPr>
    </w:p>
    <w:p w14:paraId="3B38B81A" w14:textId="77777777" w:rsidR="00BC3D53" w:rsidRDefault="00BC3D53">
      <w:pPr>
        <w:rPr>
          <w:rFonts w:ascii="Arial" w:hAnsi="Arial" w:cs="Arial"/>
          <w:color w:val="808080"/>
          <w:sz w:val="20"/>
          <w:szCs w:val="20"/>
        </w:rPr>
      </w:pPr>
    </w:p>
    <w:p w14:paraId="09FB9065" w14:textId="77777777" w:rsidR="004044C3" w:rsidRDefault="004044C3">
      <w:pPr>
        <w:rPr>
          <w:rFonts w:ascii="Arial" w:hAnsi="Arial" w:cs="Arial"/>
          <w:color w:val="808080"/>
          <w:sz w:val="20"/>
          <w:szCs w:val="20"/>
        </w:rPr>
      </w:pPr>
    </w:p>
    <w:p w14:paraId="12DF2918" w14:textId="77777777" w:rsidR="004044C3" w:rsidRDefault="004044C3">
      <w:pPr>
        <w:rPr>
          <w:rFonts w:ascii="Arial" w:hAnsi="Arial" w:cs="Arial"/>
          <w:color w:val="808080"/>
          <w:sz w:val="20"/>
          <w:szCs w:val="20"/>
        </w:rPr>
      </w:pPr>
    </w:p>
    <w:p w14:paraId="16382C41" w14:textId="77777777" w:rsidR="004044C3" w:rsidRDefault="004044C3">
      <w:pPr>
        <w:rPr>
          <w:rFonts w:ascii="Arial" w:hAnsi="Arial" w:cs="Arial"/>
          <w:color w:val="808080"/>
          <w:sz w:val="20"/>
          <w:szCs w:val="20"/>
        </w:rPr>
      </w:pPr>
    </w:p>
    <w:p w14:paraId="04066560" w14:textId="77777777" w:rsidR="004044C3" w:rsidRDefault="004044C3">
      <w:pPr>
        <w:rPr>
          <w:rFonts w:ascii="Arial" w:hAnsi="Arial" w:cs="Arial"/>
          <w:color w:val="808080"/>
          <w:sz w:val="20"/>
          <w:szCs w:val="20"/>
        </w:rPr>
      </w:pPr>
    </w:p>
    <w:p w14:paraId="046BCA5A" w14:textId="77777777" w:rsidR="004044C3" w:rsidRDefault="004044C3">
      <w:pPr>
        <w:rPr>
          <w:rFonts w:ascii="Arial" w:hAnsi="Arial" w:cs="Arial"/>
          <w:color w:val="808080"/>
          <w:sz w:val="20"/>
          <w:szCs w:val="20"/>
        </w:rPr>
      </w:pPr>
    </w:p>
    <w:p w14:paraId="363E9432" w14:textId="77777777" w:rsidR="004044C3" w:rsidRDefault="004044C3">
      <w:pPr>
        <w:rPr>
          <w:rFonts w:ascii="Arial" w:hAnsi="Arial" w:cs="Arial"/>
          <w:color w:val="808080"/>
          <w:sz w:val="20"/>
          <w:szCs w:val="20"/>
        </w:rPr>
      </w:pPr>
    </w:p>
    <w:p w14:paraId="19C8102B" w14:textId="77777777" w:rsidR="004044C3" w:rsidRDefault="004044C3">
      <w:pPr>
        <w:rPr>
          <w:rFonts w:ascii="Arial" w:hAnsi="Arial" w:cs="Arial"/>
          <w:color w:val="808080"/>
          <w:sz w:val="20"/>
          <w:szCs w:val="20"/>
        </w:rPr>
      </w:pPr>
    </w:p>
    <w:p w14:paraId="2B20F878" w14:textId="77777777" w:rsidR="004044C3" w:rsidRDefault="004044C3">
      <w:pPr>
        <w:rPr>
          <w:rFonts w:ascii="Arial" w:hAnsi="Arial" w:cs="Arial"/>
          <w:color w:val="808080"/>
          <w:sz w:val="20"/>
          <w:szCs w:val="20"/>
        </w:rPr>
      </w:pPr>
    </w:p>
    <w:p w14:paraId="2AE8EBF0" w14:textId="77777777" w:rsidR="004044C3" w:rsidRDefault="004044C3">
      <w:pPr>
        <w:rPr>
          <w:rFonts w:ascii="Arial" w:hAnsi="Arial" w:cs="Arial"/>
          <w:color w:val="808080"/>
          <w:sz w:val="20"/>
          <w:szCs w:val="20"/>
        </w:rPr>
      </w:pPr>
    </w:p>
    <w:p w14:paraId="44B00F95" w14:textId="77777777" w:rsidR="004044C3" w:rsidRPr="00B72BC9" w:rsidRDefault="004044C3">
      <w:pPr>
        <w:rPr>
          <w:rFonts w:ascii="Arial" w:hAnsi="Arial" w:cs="Arial"/>
          <w:color w:val="808080"/>
          <w:sz w:val="20"/>
          <w:szCs w:val="20"/>
        </w:rPr>
      </w:pPr>
    </w:p>
    <w:p w14:paraId="3152A637" w14:textId="77777777" w:rsidR="001553C8" w:rsidRPr="00B72BC9" w:rsidRDefault="001553C8" w:rsidP="00B97E17">
      <w:pPr>
        <w:spacing w:before="240" w:after="0"/>
        <w:rPr>
          <w:rFonts w:ascii="Arial" w:hAnsi="Arial" w:cs="Arial"/>
          <w:color w:val="808080"/>
          <w:sz w:val="20"/>
          <w:szCs w:val="20"/>
        </w:rPr>
      </w:pPr>
    </w:p>
    <w:p w14:paraId="4ABF52B6" w14:textId="77777777" w:rsidR="00AD3F62" w:rsidRDefault="00AD3F62" w:rsidP="001553C8">
      <w:pPr>
        <w:spacing w:before="240" w:after="0"/>
        <w:rPr>
          <w:rFonts w:ascii="Arial" w:hAnsi="Arial" w:cs="Arial"/>
          <w:sz w:val="20"/>
          <w:szCs w:val="20"/>
        </w:rPr>
      </w:pPr>
    </w:p>
    <w:p w14:paraId="28D4FBF1" w14:textId="77777777" w:rsidR="004044C3" w:rsidRDefault="004044C3" w:rsidP="001553C8">
      <w:pPr>
        <w:spacing w:before="240" w:after="0"/>
        <w:rPr>
          <w:rFonts w:ascii="Arial" w:hAnsi="Arial" w:cs="Arial"/>
          <w:sz w:val="20"/>
          <w:szCs w:val="20"/>
        </w:rPr>
      </w:pPr>
    </w:p>
    <w:p w14:paraId="0DD20EA4" w14:textId="77777777" w:rsidR="004044C3" w:rsidRDefault="004044C3" w:rsidP="001553C8">
      <w:pPr>
        <w:spacing w:before="240" w:after="0"/>
        <w:rPr>
          <w:rFonts w:ascii="Arial" w:hAnsi="Arial" w:cs="Arial"/>
          <w:sz w:val="20"/>
          <w:szCs w:val="20"/>
        </w:rPr>
      </w:pPr>
    </w:p>
    <w:p w14:paraId="4E8864FF" w14:textId="77777777" w:rsidR="001675A9" w:rsidRDefault="001675A9" w:rsidP="008767F0">
      <w:pPr>
        <w:rPr>
          <w:rStyle w:val="MahindraSubheadingChar"/>
          <w:rFonts w:ascii="Arial" w:hAnsi="Arial" w:cs="Arial"/>
        </w:rPr>
      </w:pPr>
    </w:p>
    <w:p w14:paraId="6197660C" w14:textId="77777777" w:rsidR="00053316" w:rsidRDefault="00012CA3" w:rsidP="00071E5E">
      <w:pPr>
        <w:ind w:left="720"/>
        <w:rPr>
          <w:rFonts w:ascii="Arial" w:hAnsi="Arial" w:cs="Arial"/>
        </w:rPr>
      </w:pPr>
      <w:bookmarkStart w:id="0" w:name="_Toc349563904"/>
      <w:r>
        <w:rPr>
          <w:rStyle w:val="MahindraSubheadingChar"/>
          <w:rFonts w:ascii="Arial" w:hAnsi="Arial" w:cs="Arial"/>
          <w:sz w:val="36"/>
          <w:szCs w:val="36"/>
        </w:rPr>
        <w:t>1.0</w:t>
      </w:r>
      <w:r>
        <w:rPr>
          <w:rStyle w:val="MahindraSubheadingChar"/>
          <w:rFonts w:ascii="Arial" w:hAnsi="Arial" w:cs="Arial"/>
          <w:sz w:val="36"/>
          <w:szCs w:val="36"/>
        </w:rPr>
        <w:tab/>
      </w:r>
      <w:r w:rsidR="00053316" w:rsidRPr="00B4623C">
        <w:rPr>
          <w:rStyle w:val="MahindraSubheadingChar"/>
          <w:rFonts w:ascii="Arial" w:hAnsi="Arial" w:cs="Arial"/>
          <w:sz w:val="36"/>
          <w:szCs w:val="36"/>
        </w:rPr>
        <w:t>Introduction</w:t>
      </w:r>
      <w:bookmarkEnd w:id="0"/>
      <w:r w:rsidR="00053316" w:rsidRPr="00873C68">
        <w:rPr>
          <w:rFonts w:ascii="Arial" w:hAnsi="Arial" w:cs="Arial"/>
        </w:rPr>
        <w:t xml:space="preserve"> </w:t>
      </w:r>
    </w:p>
    <w:p w14:paraId="0832CB48" w14:textId="77777777" w:rsidR="00012CA3" w:rsidRPr="00012CA3" w:rsidRDefault="00012CA3" w:rsidP="00012CA3">
      <w:pPr>
        <w:ind w:left="720"/>
        <w:rPr>
          <w:rFonts w:ascii="Arial" w:hAnsi="Arial" w:cs="Arial"/>
        </w:rPr>
      </w:pPr>
      <w:r w:rsidRPr="00012CA3">
        <w:rPr>
          <w:rFonts w:ascii="Arial" w:hAnsi="Arial" w:cs="Arial"/>
        </w:rPr>
        <w:t>Vulnerability assessment is the process of identifying, quantifying, and prioritizing (or ranking) the weaknesses in a system, network or communications infrastructure. It is in fact a methodical evaluation of an organization’s IT weaknesses of infrastructure components and assets and how those weaknesses can be mitigated through proper security controls and recommendations to remediate exposure to risks, threats and vulnerabilities.</w:t>
      </w:r>
    </w:p>
    <w:p w14:paraId="1FAD325E" w14:textId="77777777" w:rsidR="00E74DB0" w:rsidRPr="00873C68" w:rsidRDefault="00E74DB0" w:rsidP="00071E5E">
      <w:pPr>
        <w:spacing w:after="0" w:line="240" w:lineRule="auto"/>
        <w:ind w:left="720"/>
        <w:rPr>
          <w:rFonts w:ascii="Arial" w:hAnsi="Arial" w:cs="Arial"/>
        </w:rPr>
      </w:pPr>
      <w:r w:rsidRPr="00873C68">
        <w:rPr>
          <w:rFonts w:ascii="Arial" w:hAnsi="Arial" w:cs="Arial"/>
        </w:rPr>
        <w:t>This process will run as per the following periodicity:</w:t>
      </w:r>
    </w:p>
    <w:p w14:paraId="5272163E" w14:textId="77777777" w:rsidR="00E74DB0" w:rsidRPr="00873C68" w:rsidRDefault="00E74DB0" w:rsidP="00071E5E">
      <w:pPr>
        <w:spacing w:after="0" w:line="240" w:lineRule="auto"/>
        <w:ind w:left="720"/>
        <w:rPr>
          <w:rFonts w:ascii="Arial" w:hAnsi="Arial" w:cs="Arial"/>
        </w:rPr>
      </w:pPr>
      <w:r w:rsidRPr="00873C68">
        <w:rPr>
          <w:rFonts w:ascii="Arial" w:hAnsi="Arial" w:cs="Arial"/>
        </w:rPr>
        <w:t xml:space="preserve">The vulnerability assessment for all online Servers/Networks/Security devices </w:t>
      </w:r>
      <w:r w:rsidR="0078062F">
        <w:rPr>
          <w:rFonts w:ascii="Arial" w:hAnsi="Arial" w:cs="Arial"/>
        </w:rPr>
        <w:t xml:space="preserve">of </w:t>
      </w:r>
      <w:r w:rsidR="00DE1D10">
        <w:rPr>
          <w:rFonts w:ascii="Arial" w:hAnsi="Arial" w:cs="Arial"/>
        </w:rPr>
        <w:t>Airtel Money</w:t>
      </w:r>
      <w:r w:rsidR="0078062F">
        <w:rPr>
          <w:rFonts w:ascii="Arial" w:hAnsi="Arial" w:cs="Arial"/>
        </w:rPr>
        <w:t xml:space="preserve"> environment </w:t>
      </w:r>
      <w:r w:rsidRPr="00873C68">
        <w:rPr>
          <w:rFonts w:ascii="Arial" w:hAnsi="Arial" w:cs="Arial"/>
        </w:rPr>
        <w:t>will be conducted once in a Quarter.</w:t>
      </w:r>
    </w:p>
    <w:p w14:paraId="7DCC170B" w14:textId="77777777" w:rsidR="00A63646" w:rsidRDefault="00A63646" w:rsidP="00071E5E">
      <w:pPr>
        <w:spacing w:after="0" w:line="240" w:lineRule="auto"/>
        <w:ind w:left="720"/>
        <w:rPr>
          <w:rFonts w:ascii="Arial" w:hAnsi="Arial" w:cs="Arial"/>
        </w:rPr>
      </w:pPr>
    </w:p>
    <w:p w14:paraId="199D0EFD" w14:textId="77777777" w:rsidR="00053316" w:rsidRPr="00012CA3" w:rsidRDefault="00E74DB0" w:rsidP="00012CA3">
      <w:pPr>
        <w:ind w:left="720"/>
        <w:rPr>
          <w:rFonts w:ascii="Arial" w:hAnsi="Arial" w:cs="Arial"/>
        </w:rPr>
      </w:pPr>
      <w:r w:rsidRPr="00873C68">
        <w:rPr>
          <w:rFonts w:ascii="Arial" w:hAnsi="Arial" w:cs="Arial"/>
        </w:rPr>
        <w:t xml:space="preserve">Devices in </w:t>
      </w:r>
      <w:r w:rsidR="0078062F">
        <w:rPr>
          <w:rFonts w:ascii="Arial" w:hAnsi="Arial" w:cs="Arial"/>
        </w:rPr>
        <w:t xml:space="preserve">Test and </w:t>
      </w:r>
      <w:r w:rsidR="00980D2C">
        <w:rPr>
          <w:rFonts w:ascii="Arial" w:hAnsi="Arial" w:cs="Arial"/>
        </w:rPr>
        <w:t>D</w:t>
      </w:r>
      <w:r w:rsidR="00980D2C" w:rsidRPr="00873C68">
        <w:rPr>
          <w:rFonts w:ascii="Arial" w:hAnsi="Arial" w:cs="Arial"/>
        </w:rPr>
        <w:t>evelopment zone</w:t>
      </w:r>
      <w:r w:rsidRPr="00873C68">
        <w:rPr>
          <w:rFonts w:ascii="Arial" w:hAnsi="Arial" w:cs="Arial"/>
        </w:rPr>
        <w:t xml:space="preserve"> are n</w:t>
      </w:r>
      <w:r w:rsidR="0078062F">
        <w:rPr>
          <w:rFonts w:ascii="Arial" w:hAnsi="Arial" w:cs="Arial"/>
        </w:rPr>
        <w:t>ot covered under the scope of Vulnerability Assessment</w:t>
      </w:r>
      <w:r w:rsidRPr="00873C68">
        <w:rPr>
          <w:rFonts w:ascii="Arial" w:hAnsi="Arial" w:cs="Arial"/>
        </w:rPr>
        <w:t xml:space="preserve"> process except the one</w:t>
      </w:r>
      <w:r w:rsidR="0078062F">
        <w:rPr>
          <w:rFonts w:ascii="Arial" w:hAnsi="Arial" w:cs="Arial"/>
        </w:rPr>
        <w:t>s</w:t>
      </w:r>
      <w:r w:rsidRPr="00873C68">
        <w:rPr>
          <w:rFonts w:ascii="Arial" w:hAnsi="Arial" w:cs="Arial"/>
        </w:rPr>
        <w:t xml:space="preserve"> having customer data.</w:t>
      </w:r>
      <w:bookmarkStart w:id="1" w:name="_Toc349563905"/>
    </w:p>
    <w:p w14:paraId="3954BB7B" w14:textId="77777777" w:rsidR="00910C69" w:rsidRDefault="00910C69" w:rsidP="00053316">
      <w:pPr>
        <w:ind w:left="720"/>
        <w:rPr>
          <w:rStyle w:val="MahindraSubheadingChar"/>
          <w:rFonts w:ascii="Arial" w:hAnsi="Arial" w:cs="Arial"/>
          <w:sz w:val="36"/>
          <w:szCs w:val="36"/>
        </w:rPr>
      </w:pPr>
    </w:p>
    <w:p w14:paraId="02A920AC" w14:textId="77777777" w:rsidR="00053316" w:rsidRPr="00053316" w:rsidRDefault="00012CA3" w:rsidP="00053316">
      <w:pPr>
        <w:ind w:left="720"/>
        <w:rPr>
          <w:rStyle w:val="MahindraSubheadingChar"/>
          <w:rFonts w:ascii="Arial" w:hAnsi="Arial" w:cs="Arial"/>
          <w:b w:val="0"/>
          <w:color w:val="auto"/>
          <w:sz w:val="22"/>
          <w:szCs w:val="22"/>
        </w:rPr>
      </w:pPr>
      <w:r>
        <w:rPr>
          <w:rStyle w:val="MahindraSubheadingChar"/>
          <w:rFonts w:ascii="Arial" w:hAnsi="Arial" w:cs="Arial"/>
          <w:sz w:val="36"/>
          <w:szCs w:val="36"/>
        </w:rPr>
        <w:t>2.0</w:t>
      </w:r>
      <w:r>
        <w:rPr>
          <w:rStyle w:val="MahindraSubheadingChar"/>
          <w:rFonts w:ascii="Arial" w:hAnsi="Arial" w:cs="Arial"/>
          <w:sz w:val="36"/>
          <w:szCs w:val="36"/>
        </w:rPr>
        <w:tab/>
      </w:r>
      <w:r w:rsidR="00053316" w:rsidRPr="00B4623C">
        <w:rPr>
          <w:rStyle w:val="MahindraSubheadingChar"/>
          <w:rFonts w:ascii="Arial" w:hAnsi="Arial" w:cs="Arial"/>
          <w:sz w:val="36"/>
          <w:szCs w:val="36"/>
        </w:rPr>
        <w:t>Scope</w:t>
      </w:r>
      <w:bookmarkEnd w:id="1"/>
    </w:p>
    <w:p w14:paraId="2D5728CC" w14:textId="77777777" w:rsidR="00E74DB0" w:rsidRDefault="00012CA3" w:rsidP="00E74DB0">
      <w:pPr>
        <w:pStyle w:val="ListParagraph"/>
        <w:rPr>
          <w:rFonts w:ascii="Arial" w:hAnsi="Arial" w:cs="Arial"/>
        </w:rPr>
      </w:pPr>
      <w:r w:rsidRPr="00304A2F">
        <w:rPr>
          <w:rFonts w:asciiTheme="minorHAnsi" w:hAnsiTheme="minorHAnsi" w:cs="Arial"/>
        </w:rPr>
        <w:t xml:space="preserve">The scope of </w:t>
      </w:r>
      <w:r w:rsidRPr="00873C68">
        <w:rPr>
          <w:rFonts w:ascii="Arial" w:hAnsi="Arial" w:cs="Arial"/>
        </w:rPr>
        <w:t xml:space="preserve">this process is </w:t>
      </w:r>
      <w:r>
        <w:rPr>
          <w:rFonts w:ascii="Arial" w:hAnsi="Arial" w:cs="Arial"/>
        </w:rPr>
        <w:t>to identify vulnerabilities in Servers, Endpoint</w:t>
      </w:r>
      <w:r w:rsidRPr="00873C68">
        <w:rPr>
          <w:rFonts w:ascii="Arial" w:hAnsi="Arial" w:cs="Arial"/>
        </w:rPr>
        <w:t xml:space="preserve"> devices,</w:t>
      </w:r>
      <w:r>
        <w:rPr>
          <w:rFonts w:ascii="Arial" w:hAnsi="Arial" w:cs="Arial"/>
        </w:rPr>
        <w:t xml:space="preserve"> N</w:t>
      </w:r>
      <w:r w:rsidRPr="00873C68">
        <w:rPr>
          <w:rFonts w:ascii="Arial" w:hAnsi="Arial" w:cs="Arial"/>
        </w:rPr>
        <w:t>etwork devices,</w:t>
      </w:r>
      <w:r>
        <w:rPr>
          <w:rFonts w:ascii="Arial" w:hAnsi="Arial" w:cs="Arial"/>
        </w:rPr>
        <w:t xml:space="preserve"> with reference to </w:t>
      </w:r>
      <w:r w:rsidR="00DE1D10">
        <w:rPr>
          <w:rFonts w:ascii="Arial" w:hAnsi="Arial" w:cs="Arial"/>
        </w:rPr>
        <w:t>Airtel Money</w:t>
      </w:r>
      <w:r>
        <w:rPr>
          <w:rFonts w:ascii="Arial" w:hAnsi="Arial" w:cs="Arial"/>
        </w:rPr>
        <w:t xml:space="preserve"> environment by Mahindra</w:t>
      </w:r>
      <w:r w:rsidRPr="00873C68">
        <w:rPr>
          <w:rFonts w:ascii="Arial" w:hAnsi="Arial" w:cs="Arial"/>
        </w:rPr>
        <w:t xml:space="preserve"> </w:t>
      </w:r>
      <w:proofErr w:type="spellStart"/>
      <w:r w:rsidRPr="00873C68">
        <w:rPr>
          <w:rFonts w:ascii="Arial" w:hAnsi="Arial" w:cs="Arial"/>
        </w:rPr>
        <w:t>Comviva</w:t>
      </w:r>
      <w:proofErr w:type="spellEnd"/>
      <w:r w:rsidRPr="00873C68">
        <w:rPr>
          <w:rFonts w:ascii="Arial" w:hAnsi="Arial" w:cs="Arial"/>
        </w:rPr>
        <w:t xml:space="preserve"> and to close the high and medium hole of vulnerabilities</w:t>
      </w:r>
      <w:r>
        <w:rPr>
          <w:rFonts w:ascii="Arial" w:hAnsi="Arial" w:cs="Arial"/>
        </w:rPr>
        <w:t>. Low risk</w:t>
      </w:r>
      <w:r w:rsidRPr="00873C68">
        <w:rPr>
          <w:rFonts w:ascii="Arial" w:hAnsi="Arial" w:cs="Arial"/>
        </w:rPr>
        <w:t xml:space="preserve"> vulnerabilities are for information purposes only and not require any further calculation</w:t>
      </w:r>
      <w:r>
        <w:rPr>
          <w:rFonts w:ascii="Arial" w:hAnsi="Arial" w:cs="Arial"/>
        </w:rPr>
        <w:t xml:space="preserve"> </w:t>
      </w:r>
      <w:r w:rsidRPr="00873C68">
        <w:rPr>
          <w:rFonts w:ascii="Arial" w:hAnsi="Arial" w:cs="Arial"/>
        </w:rPr>
        <w:t>or migration</w:t>
      </w:r>
    </w:p>
    <w:p w14:paraId="03C4EA70" w14:textId="77777777" w:rsidR="00053316" w:rsidRPr="00053316" w:rsidRDefault="00012CA3" w:rsidP="00053316">
      <w:pPr>
        <w:ind w:left="720"/>
        <w:rPr>
          <w:rStyle w:val="MahindraSubheadingChar"/>
          <w:rFonts w:ascii="Arial" w:hAnsi="Arial" w:cs="Arial"/>
          <w:sz w:val="36"/>
          <w:szCs w:val="36"/>
        </w:rPr>
      </w:pPr>
      <w:r>
        <w:rPr>
          <w:rStyle w:val="MahindraSubheadingChar"/>
          <w:rFonts w:ascii="Arial" w:hAnsi="Arial" w:cs="Arial"/>
          <w:sz w:val="36"/>
          <w:szCs w:val="36"/>
        </w:rPr>
        <w:t>3.0</w:t>
      </w:r>
      <w:r>
        <w:rPr>
          <w:rStyle w:val="MahindraSubheadingChar"/>
          <w:rFonts w:ascii="Arial" w:hAnsi="Arial" w:cs="Arial"/>
          <w:sz w:val="36"/>
          <w:szCs w:val="36"/>
        </w:rPr>
        <w:tab/>
      </w:r>
      <w:r w:rsidR="00053316" w:rsidRPr="00053316">
        <w:rPr>
          <w:rStyle w:val="MahindraSubheadingChar"/>
          <w:rFonts w:ascii="Arial" w:hAnsi="Arial" w:cs="Arial"/>
          <w:sz w:val="36"/>
          <w:szCs w:val="36"/>
        </w:rPr>
        <w:t xml:space="preserve">Vulnerability Assessment Process </w:t>
      </w:r>
    </w:p>
    <w:p w14:paraId="34628A61" w14:textId="77777777" w:rsidR="0038176B" w:rsidRPr="0038176B" w:rsidRDefault="0038176B" w:rsidP="0038176B">
      <w:pPr>
        <w:pStyle w:val="ListParagraph"/>
        <w:rPr>
          <w:rFonts w:ascii="Arial" w:hAnsi="Arial" w:cs="Arial"/>
        </w:rPr>
      </w:pPr>
      <w:r w:rsidRPr="0038176B">
        <w:rPr>
          <w:rFonts w:ascii="Arial" w:hAnsi="Arial" w:cs="Arial"/>
        </w:rPr>
        <w:t>A Vulnerability and Security Assessment is an</w:t>
      </w:r>
      <w:r>
        <w:rPr>
          <w:rFonts w:ascii="Arial" w:hAnsi="Arial" w:cs="Arial"/>
        </w:rPr>
        <w:t xml:space="preserve"> excellent way to evaluate </w:t>
      </w:r>
      <w:r w:rsidRPr="0038176B">
        <w:rPr>
          <w:rFonts w:ascii="Arial" w:hAnsi="Arial" w:cs="Arial"/>
        </w:rPr>
        <w:t xml:space="preserve">existing security posture and a great first step to take prior to making security improvements at </w:t>
      </w:r>
      <w:r>
        <w:rPr>
          <w:rFonts w:ascii="Arial" w:hAnsi="Arial" w:cs="Arial"/>
        </w:rPr>
        <w:t>Organization</w:t>
      </w:r>
      <w:r w:rsidRPr="0038176B">
        <w:rPr>
          <w:rFonts w:ascii="Arial" w:hAnsi="Arial" w:cs="Arial"/>
        </w:rPr>
        <w:t xml:space="preserve"> facility or when trying to solve a specific security problem.</w:t>
      </w:r>
    </w:p>
    <w:p w14:paraId="43636DDA" w14:textId="77777777" w:rsidR="0038176B" w:rsidRPr="0038176B" w:rsidRDefault="0038176B" w:rsidP="0038176B">
      <w:pPr>
        <w:pStyle w:val="ListParagraph"/>
        <w:rPr>
          <w:rFonts w:ascii="Arial" w:hAnsi="Arial" w:cs="Arial"/>
        </w:rPr>
      </w:pPr>
      <w:r w:rsidRPr="0038176B">
        <w:rPr>
          <w:rFonts w:ascii="Arial" w:hAnsi="Arial" w:cs="Arial"/>
        </w:rPr>
        <w:t xml:space="preserve">During a Vulnerability and Security Assessment, all aspects of </w:t>
      </w:r>
      <w:r>
        <w:rPr>
          <w:rFonts w:ascii="Arial" w:hAnsi="Arial" w:cs="Arial"/>
        </w:rPr>
        <w:t>Organization</w:t>
      </w:r>
      <w:r w:rsidRPr="0038176B">
        <w:rPr>
          <w:rFonts w:ascii="Arial" w:hAnsi="Arial" w:cs="Arial"/>
        </w:rPr>
        <w:t xml:space="preserve"> facilities’ security are examined, any weaknesses are identified, and suggestions for security improvements are provided. In addition, opportunities where costs can be reduced or where security operations can be made more efficient are identified.</w:t>
      </w:r>
    </w:p>
    <w:p w14:paraId="587A0A07" w14:textId="77777777" w:rsidR="0038176B" w:rsidRDefault="0038176B" w:rsidP="0038176B">
      <w:pPr>
        <w:pStyle w:val="ListParagraph"/>
        <w:rPr>
          <w:rFonts w:ascii="Arial" w:hAnsi="Arial" w:cs="Arial"/>
        </w:rPr>
      </w:pPr>
    </w:p>
    <w:p w14:paraId="5CDF9378" w14:textId="77777777" w:rsidR="0038176B" w:rsidRPr="0038176B" w:rsidRDefault="0038176B" w:rsidP="0038176B">
      <w:pPr>
        <w:pStyle w:val="ListParagraph"/>
        <w:rPr>
          <w:rFonts w:ascii="Arial" w:hAnsi="Arial" w:cs="Arial"/>
        </w:rPr>
      </w:pPr>
      <w:r w:rsidRPr="0038176B">
        <w:rPr>
          <w:rFonts w:ascii="Arial" w:hAnsi="Arial" w:cs="Arial"/>
        </w:rPr>
        <w:t>Vulnerability and Security Assessment process uses a structured, formal analysis process that allows us to gain a deep understanding of your business’ security requirements, operating conditions, policies and your surrounding community’s security risks and threats.</w:t>
      </w:r>
    </w:p>
    <w:p w14:paraId="08295623" w14:textId="77777777" w:rsidR="0038176B" w:rsidRPr="0038176B" w:rsidRDefault="0038176B" w:rsidP="0038176B">
      <w:pPr>
        <w:pStyle w:val="ListParagraph"/>
        <w:rPr>
          <w:rFonts w:ascii="Arial" w:hAnsi="Arial" w:cs="Arial"/>
        </w:rPr>
      </w:pPr>
      <w:r w:rsidRPr="0038176B">
        <w:rPr>
          <w:rFonts w:ascii="Arial" w:hAnsi="Arial" w:cs="Arial"/>
        </w:rPr>
        <w:t>While client involvement is crucial to a successful assessment, our consultants facilitate the assessment every step of the way, keeping the project on track, and making sure that all important elements are examined</w:t>
      </w:r>
    </w:p>
    <w:p w14:paraId="34DA33A3" w14:textId="77777777" w:rsidR="00B010E3" w:rsidRPr="004E6A55" w:rsidRDefault="00B010E3" w:rsidP="00B010E3">
      <w:pPr>
        <w:ind w:left="720"/>
        <w:rPr>
          <w:rFonts w:ascii="Arial" w:hAnsi="Arial" w:cs="Arial"/>
          <w:b/>
        </w:rPr>
      </w:pPr>
      <w:r w:rsidRPr="004E6A55">
        <w:rPr>
          <w:rFonts w:ascii="Arial" w:hAnsi="Arial" w:cs="Arial"/>
          <w:b/>
        </w:rPr>
        <w:lastRenderedPageBreak/>
        <w:t>Definitions</w:t>
      </w:r>
    </w:p>
    <w:p w14:paraId="31FBD386" w14:textId="77777777" w:rsidR="00FB5421" w:rsidRDefault="00E43BF9" w:rsidP="00B010E3">
      <w:pPr>
        <w:pStyle w:val="ListParagraph"/>
        <w:rPr>
          <w:rFonts w:ascii="Arial" w:hAnsi="Arial" w:cs="Arial"/>
          <w:sz w:val="20"/>
          <w:szCs w:val="20"/>
        </w:rPr>
      </w:pPr>
      <w:r w:rsidRPr="00B010E3">
        <w:rPr>
          <w:rFonts w:ascii="Arial" w:hAnsi="Arial" w:cs="Arial"/>
          <w:sz w:val="20"/>
          <w:szCs w:val="20"/>
        </w:rPr>
        <w:t>Vulnerability: A flaw or weakness in system security procedures, design, implementation, or internal controls that may result in a security breach or a violation of the system's security policy.</w:t>
      </w:r>
    </w:p>
    <w:p w14:paraId="24EE9752" w14:textId="77777777" w:rsidR="00B010E3" w:rsidRPr="00B010E3" w:rsidRDefault="00B010E3" w:rsidP="00B010E3">
      <w:pPr>
        <w:pStyle w:val="ListParagraph"/>
        <w:rPr>
          <w:rFonts w:ascii="Arial" w:hAnsi="Arial" w:cs="Arial"/>
          <w:sz w:val="20"/>
          <w:szCs w:val="20"/>
        </w:rPr>
      </w:pPr>
    </w:p>
    <w:p w14:paraId="702FDDE2" w14:textId="77777777" w:rsidR="00FB5421" w:rsidRDefault="00E43BF9" w:rsidP="00B010E3">
      <w:pPr>
        <w:pStyle w:val="ListParagraph"/>
        <w:rPr>
          <w:rFonts w:ascii="Arial" w:hAnsi="Arial" w:cs="Arial"/>
          <w:sz w:val="20"/>
          <w:szCs w:val="20"/>
        </w:rPr>
      </w:pPr>
      <w:r w:rsidRPr="00B010E3">
        <w:rPr>
          <w:rFonts w:ascii="Arial" w:hAnsi="Arial" w:cs="Arial"/>
          <w:sz w:val="20"/>
          <w:szCs w:val="20"/>
        </w:rPr>
        <w:t>Threat: The potential for a specific vulnerability to be exercised either intentionally or accidentally</w:t>
      </w:r>
    </w:p>
    <w:p w14:paraId="776010AC" w14:textId="77777777" w:rsidR="00B010E3" w:rsidRPr="00B010E3" w:rsidRDefault="00B010E3" w:rsidP="00B010E3">
      <w:pPr>
        <w:pStyle w:val="ListParagraph"/>
        <w:rPr>
          <w:rFonts w:ascii="Arial" w:hAnsi="Arial" w:cs="Arial"/>
          <w:sz w:val="20"/>
          <w:szCs w:val="20"/>
        </w:rPr>
      </w:pPr>
    </w:p>
    <w:p w14:paraId="3B6C9424" w14:textId="77777777" w:rsidR="00FB5421" w:rsidRDefault="00E43BF9" w:rsidP="00B010E3">
      <w:pPr>
        <w:pStyle w:val="ListParagraph"/>
        <w:rPr>
          <w:rFonts w:ascii="Arial" w:hAnsi="Arial" w:cs="Arial"/>
          <w:sz w:val="20"/>
          <w:szCs w:val="20"/>
        </w:rPr>
      </w:pPr>
      <w:r w:rsidRPr="00B010E3">
        <w:rPr>
          <w:rFonts w:ascii="Arial" w:hAnsi="Arial" w:cs="Arial"/>
          <w:sz w:val="20"/>
          <w:szCs w:val="20"/>
        </w:rPr>
        <w:t xml:space="preserve">Control: measures taken to prevent, detect, minimize, or eliminate risk to protect the Integrity, Confidentiality, and Availability of information. </w:t>
      </w:r>
    </w:p>
    <w:p w14:paraId="4F7BF415" w14:textId="77777777" w:rsidR="00B010E3" w:rsidRPr="00B010E3" w:rsidRDefault="00B010E3" w:rsidP="00B010E3">
      <w:pPr>
        <w:pStyle w:val="ListParagraph"/>
        <w:rPr>
          <w:rFonts w:ascii="Arial" w:hAnsi="Arial" w:cs="Arial"/>
          <w:sz w:val="20"/>
          <w:szCs w:val="20"/>
        </w:rPr>
      </w:pPr>
    </w:p>
    <w:p w14:paraId="614F9CA6" w14:textId="77777777" w:rsidR="00FB5421" w:rsidRPr="00B010E3" w:rsidRDefault="00E43BF9" w:rsidP="00B010E3">
      <w:pPr>
        <w:pStyle w:val="ListParagraph"/>
        <w:rPr>
          <w:rFonts w:ascii="Arial" w:hAnsi="Arial" w:cs="Arial"/>
          <w:sz w:val="20"/>
          <w:szCs w:val="20"/>
        </w:rPr>
      </w:pPr>
      <w:r w:rsidRPr="00B010E3">
        <w:rPr>
          <w:rFonts w:ascii="Arial" w:hAnsi="Arial" w:cs="Arial"/>
          <w:sz w:val="20"/>
          <w:szCs w:val="20"/>
        </w:rPr>
        <w:t>Vulnerability Assessment: The process of identifying, quantifying, and prioritizing (or ranking) the vulnerabilities in a system.</w:t>
      </w:r>
    </w:p>
    <w:p w14:paraId="46397009" w14:textId="77777777" w:rsidR="00910C69" w:rsidRDefault="002D32FE" w:rsidP="00910C69">
      <w:pPr>
        <w:rPr>
          <w:rStyle w:val="MahindraSubheadingChar"/>
          <w:rFonts w:ascii="Arial" w:hAnsi="Arial" w:cs="Arial"/>
          <w:sz w:val="36"/>
          <w:szCs w:val="36"/>
        </w:rPr>
      </w:pPr>
      <w:r>
        <w:rPr>
          <w:rStyle w:val="MahindraSubheadingChar"/>
          <w:rFonts w:ascii="Arial" w:hAnsi="Arial" w:cs="Arial"/>
          <w:sz w:val="36"/>
          <w:szCs w:val="36"/>
        </w:rPr>
        <w:t xml:space="preserve">      </w:t>
      </w:r>
    </w:p>
    <w:p w14:paraId="248BDA0B" w14:textId="77777777" w:rsidR="002D32FE" w:rsidRDefault="002D32FE" w:rsidP="00910C69">
      <w:pPr>
        <w:rPr>
          <w:rStyle w:val="MahindraSubheadingChar"/>
          <w:rFonts w:ascii="Arial" w:hAnsi="Arial" w:cs="Arial"/>
          <w:sz w:val="36"/>
          <w:szCs w:val="36"/>
        </w:rPr>
      </w:pPr>
    </w:p>
    <w:p w14:paraId="2438AA7F" w14:textId="77777777" w:rsidR="002D32FE" w:rsidRDefault="002D32FE" w:rsidP="00910C69">
      <w:pPr>
        <w:rPr>
          <w:rStyle w:val="MahindraSubheadingChar"/>
          <w:rFonts w:ascii="Arial" w:hAnsi="Arial" w:cs="Arial"/>
          <w:sz w:val="36"/>
          <w:szCs w:val="36"/>
        </w:rPr>
      </w:pPr>
    </w:p>
    <w:p w14:paraId="2CF17D17" w14:textId="77777777" w:rsidR="002D32FE" w:rsidRDefault="002D32FE" w:rsidP="00910C69">
      <w:pPr>
        <w:rPr>
          <w:rStyle w:val="MahindraSubheadingChar"/>
          <w:rFonts w:ascii="Arial" w:hAnsi="Arial" w:cs="Arial"/>
          <w:sz w:val="36"/>
          <w:szCs w:val="36"/>
        </w:rPr>
      </w:pPr>
    </w:p>
    <w:p w14:paraId="4758A29D" w14:textId="77777777" w:rsidR="002D32FE" w:rsidRDefault="002D32FE" w:rsidP="00910C69">
      <w:pPr>
        <w:rPr>
          <w:rStyle w:val="MahindraSubheadingChar"/>
          <w:rFonts w:ascii="Arial" w:hAnsi="Arial" w:cs="Arial"/>
          <w:sz w:val="36"/>
          <w:szCs w:val="36"/>
        </w:rPr>
      </w:pPr>
    </w:p>
    <w:p w14:paraId="2E6330E9" w14:textId="77777777" w:rsidR="002D32FE" w:rsidRDefault="002D32FE" w:rsidP="00910C69">
      <w:pPr>
        <w:rPr>
          <w:rStyle w:val="MahindraSubheadingChar"/>
          <w:rFonts w:ascii="Arial" w:hAnsi="Arial" w:cs="Arial"/>
          <w:sz w:val="36"/>
          <w:szCs w:val="36"/>
        </w:rPr>
      </w:pPr>
    </w:p>
    <w:p w14:paraId="2E582640" w14:textId="77777777" w:rsidR="002D32FE" w:rsidRDefault="002D32FE" w:rsidP="00910C69">
      <w:pPr>
        <w:rPr>
          <w:rStyle w:val="MahindraSubheadingChar"/>
          <w:rFonts w:ascii="Arial" w:hAnsi="Arial" w:cs="Arial"/>
          <w:sz w:val="36"/>
          <w:szCs w:val="36"/>
        </w:rPr>
      </w:pPr>
    </w:p>
    <w:p w14:paraId="06C0234B" w14:textId="77777777" w:rsidR="002D32FE" w:rsidRDefault="002D32FE" w:rsidP="00910C69">
      <w:pPr>
        <w:rPr>
          <w:rStyle w:val="MahindraSubheadingChar"/>
          <w:rFonts w:ascii="Arial" w:hAnsi="Arial" w:cs="Arial"/>
          <w:sz w:val="36"/>
          <w:szCs w:val="36"/>
        </w:rPr>
      </w:pPr>
    </w:p>
    <w:p w14:paraId="1416B703" w14:textId="77777777" w:rsidR="002D32FE" w:rsidRDefault="002D32FE" w:rsidP="00910C69">
      <w:pPr>
        <w:rPr>
          <w:rStyle w:val="MahindraSubheadingChar"/>
          <w:rFonts w:ascii="Arial" w:hAnsi="Arial" w:cs="Arial"/>
          <w:sz w:val="36"/>
          <w:szCs w:val="36"/>
        </w:rPr>
      </w:pPr>
    </w:p>
    <w:p w14:paraId="46779B7F" w14:textId="77777777" w:rsidR="002D32FE" w:rsidRDefault="002D32FE" w:rsidP="00910C69">
      <w:pPr>
        <w:rPr>
          <w:rStyle w:val="MahindraSubheadingChar"/>
          <w:rFonts w:ascii="Arial" w:hAnsi="Arial" w:cs="Arial"/>
          <w:sz w:val="36"/>
          <w:szCs w:val="36"/>
        </w:rPr>
      </w:pPr>
    </w:p>
    <w:p w14:paraId="759533D2" w14:textId="77777777" w:rsidR="002D32FE" w:rsidRDefault="002D32FE" w:rsidP="00910C69">
      <w:pPr>
        <w:rPr>
          <w:rStyle w:val="MahindraSubheadingChar"/>
          <w:rFonts w:ascii="Arial" w:hAnsi="Arial" w:cs="Arial"/>
          <w:sz w:val="36"/>
          <w:szCs w:val="36"/>
        </w:rPr>
      </w:pPr>
    </w:p>
    <w:p w14:paraId="77F1F393" w14:textId="77777777" w:rsidR="002D32FE" w:rsidRDefault="002D32FE" w:rsidP="00910C69">
      <w:pPr>
        <w:rPr>
          <w:rStyle w:val="MahindraSubheadingChar"/>
          <w:rFonts w:ascii="Arial" w:hAnsi="Arial" w:cs="Arial"/>
          <w:sz w:val="36"/>
          <w:szCs w:val="36"/>
        </w:rPr>
      </w:pPr>
    </w:p>
    <w:p w14:paraId="181A4B03" w14:textId="77777777" w:rsidR="002D32FE" w:rsidRDefault="002D32FE" w:rsidP="00910C69">
      <w:pPr>
        <w:rPr>
          <w:rStyle w:val="MahindraSubheadingChar"/>
          <w:rFonts w:ascii="Arial" w:hAnsi="Arial" w:cs="Arial"/>
          <w:sz w:val="36"/>
          <w:szCs w:val="36"/>
        </w:rPr>
      </w:pPr>
    </w:p>
    <w:p w14:paraId="43BC6843" w14:textId="77777777" w:rsidR="002D32FE" w:rsidRDefault="002D32FE" w:rsidP="00910C69">
      <w:pPr>
        <w:rPr>
          <w:rStyle w:val="MahindraSubheadingChar"/>
          <w:rFonts w:ascii="Arial" w:hAnsi="Arial" w:cs="Arial"/>
          <w:sz w:val="36"/>
          <w:szCs w:val="36"/>
        </w:rPr>
      </w:pPr>
    </w:p>
    <w:p w14:paraId="2DF8B8B1" w14:textId="77777777" w:rsidR="00910C69" w:rsidRDefault="00910C69" w:rsidP="00910C69">
      <w:pPr>
        <w:rPr>
          <w:rStyle w:val="MahindraSubheadingChar"/>
          <w:rFonts w:ascii="Arial" w:hAnsi="Arial" w:cs="Arial"/>
          <w:sz w:val="36"/>
          <w:szCs w:val="36"/>
        </w:rPr>
      </w:pPr>
      <w:r>
        <w:rPr>
          <w:rStyle w:val="MahindraSubheadingChar"/>
          <w:rFonts w:ascii="Arial" w:hAnsi="Arial" w:cs="Arial"/>
          <w:sz w:val="36"/>
          <w:szCs w:val="36"/>
        </w:rPr>
        <w:lastRenderedPageBreak/>
        <w:t>4</w:t>
      </w:r>
      <w:r w:rsidR="00EE6401" w:rsidRPr="00EE6401">
        <w:rPr>
          <w:rStyle w:val="MahindraSubheadingChar"/>
          <w:rFonts w:ascii="Arial" w:hAnsi="Arial" w:cs="Arial"/>
          <w:sz w:val="36"/>
          <w:szCs w:val="36"/>
        </w:rPr>
        <w:t>.0</w:t>
      </w:r>
      <w:r w:rsidR="00EE6401" w:rsidRPr="00EE6401">
        <w:rPr>
          <w:rStyle w:val="MahindraSubheadingChar"/>
          <w:rFonts w:ascii="Arial" w:hAnsi="Arial" w:cs="Arial"/>
          <w:sz w:val="36"/>
          <w:szCs w:val="36"/>
        </w:rPr>
        <w:tab/>
      </w:r>
      <w:r w:rsidR="00012CA3" w:rsidRPr="00EE6401">
        <w:rPr>
          <w:rStyle w:val="MahindraSubheadingChar"/>
          <w:rFonts w:ascii="Arial" w:hAnsi="Arial" w:cs="Arial"/>
          <w:sz w:val="36"/>
          <w:szCs w:val="36"/>
        </w:rPr>
        <w:t>Vulnerability Assessment Procedure</w:t>
      </w:r>
    </w:p>
    <w:p w14:paraId="39D23CC9" w14:textId="77777777" w:rsidR="005B11C3" w:rsidRPr="00910C69" w:rsidRDefault="00910C69" w:rsidP="00910C69">
      <w:pPr>
        <w:rPr>
          <w:rStyle w:val="MahindraSubheadingChar"/>
          <w:rFonts w:ascii="Arial" w:hAnsi="Arial" w:cs="Arial"/>
          <w:sz w:val="36"/>
          <w:szCs w:val="36"/>
        </w:rPr>
      </w:pPr>
      <w:r>
        <w:rPr>
          <w:rStyle w:val="MahindraSubheadingChar"/>
          <w:rFonts w:ascii="Arial" w:hAnsi="Arial" w:cs="Arial"/>
        </w:rPr>
        <w:t>4</w:t>
      </w:r>
      <w:r w:rsidR="005B11C3" w:rsidRPr="007E723F">
        <w:rPr>
          <w:rStyle w:val="MahindraSubheadingChar"/>
          <w:rFonts w:ascii="Arial" w:hAnsi="Arial" w:cs="Arial"/>
        </w:rPr>
        <w:t xml:space="preserve">.1 </w:t>
      </w:r>
      <w:r w:rsidR="00841374">
        <w:rPr>
          <w:rStyle w:val="MahindraSubheadingChar"/>
          <w:rFonts w:ascii="Arial" w:hAnsi="Arial" w:cs="Arial"/>
        </w:rPr>
        <w:t>Process Flow</w:t>
      </w:r>
      <w:r w:rsidR="00875E9C">
        <w:rPr>
          <w:rStyle w:val="MahindraSubheadingChar"/>
          <w:rFonts w:ascii="Arial" w:hAnsi="Arial" w:cs="Arial"/>
        </w:rPr>
        <w:t xml:space="preserve"> </w:t>
      </w:r>
      <w:r w:rsidR="005B11C3" w:rsidRPr="007E723F">
        <w:rPr>
          <w:rStyle w:val="MahindraSubheadingChar"/>
          <w:rFonts w:ascii="Arial" w:hAnsi="Arial" w:cs="Arial"/>
        </w:rPr>
        <w:t xml:space="preserve">diagram </w:t>
      </w:r>
    </w:p>
    <w:p w14:paraId="5172C6BB" w14:textId="77777777" w:rsidR="007E723F" w:rsidRDefault="000E757C" w:rsidP="008F5136">
      <w:pPr>
        <w:ind w:left="720"/>
        <w:rPr>
          <w:rFonts w:ascii="Arial" w:hAnsi="Arial" w:cs="Arial"/>
          <w:b/>
          <w:noProof/>
          <w:color w:val="E31837" w:themeColor="background2"/>
          <w:sz w:val="28"/>
          <w:szCs w:val="28"/>
        </w:rPr>
      </w:pPr>
      <w:r>
        <w:rPr>
          <w:rFonts w:ascii="Arial" w:hAnsi="Arial" w:cs="Arial"/>
          <w:b/>
          <w:noProof/>
          <w:color w:val="E31837" w:themeColor="background2"/>
          <w:sz w:val="28"/>
          <w:szCs w:val="28"/>
        </w:rPr>
        <w:drawing>
          <wp:inline distT="0" distB="0" distL="0" distR="0" wp14:anchorId="45F4513B" wp14:editId="48DD302E">
            <wp:extent cx="5943600" cy="445516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43600" cy="4455160"/>
                    </a:xfrm>
                    <a:prstGeom prst="rect">
                      <a:avLst/>
                    </a:prstGeom>
                    <a:noFill/>
                    <a:ln w="9525">
                      <a:noFill/>
                      <a:miter lim="800000"/>
                      <a:headEnd/>
                      <a:tailEnd/>
                    </a:ln>
                  </pic:spPr>
                </pic:pic>
              </a:graphicData>
            </a:graphic>
          </wp:inline>
        </w:drawing>
      </w:r>
    </w:p>
    <w:p w14:paraId="3B3EDA5C" w14:textId="77777777" w:rsidR="000E757C" w:rsidRDefault="00552E2D" w:rsidP="00552E2D">
      <w:pPr>
        <w:tabs>
          <w:tab w:val="left" w:pos="2076"/>
        </w:tabs>
        <w:ind w:left="720"/>
        <w:rPr>
          <w:rFonts w:ascii="Arial" w:hAnsi="Arial" w:cs="Arial"/>
          <w:b/>
          <w:noProof/>
          <w:color w:val="E31837" w:themeColor="background2"/>
          <w:sz w:val="28"/>
          <w:szCs w:val="28"/>
        </w:rPr>
      </w:pPr>
      <w:r>
        <w:rPr>
          <w:rFonts w:ascii="Arial" w:hAnsi="Arial" w:cs="Arial"/>
          <w:b/>
          <w:noProof/>
          <w:color w:val="E31837" w:themeColor="background2"/>
          <w:sz w:val="28"/>
          <w:szCs w:val="28"/>
        </w:rPr>
        <w:tab/>
      </w:r>
    </w:p>
    <w:p w14:paraId="754BE0DF" w14:textId="77777777" w:rsidR="000E757C" w:rsidRPr="008F5136" w:rsidRDefault="000E757C" w:rsidP="008F5136">
      <w:pPr>
        <w:ind w:left="720"/>
        <w:rPr>
          <w:rStyle w:val="MahindraSubheadingChar"/>
          <w:rFonts w:ascii="Arial" w:hAnsi="Arial" w:cs="Arial"/>
        </w:rPr>
      </w:pPr>
    </w:p>
    <w:p w14:paraId="7AFEC8F7" w14:textId="77777777" w:rsidR="005B11C3" w:rsidRDefault="00910C69" w:rsidP="00EE6401">
      <w:pPr>
        <w:ind w:left="720"/>
        <w:rPr>
          <w:rStyle w:val="MahindraSubheadingChar"/>
          <w:rFonts w:ascii="Arial" w:hAnsi="Arial" w:cs="Arial"/>
        </w:rPr>
      </w:pPr>
      <w:r>
        <w:rPr>
          <w:rStyle w:val="MahindraSubheadingChar"/>
          <w:rFonts w:ascii="Arial" w:hAnsi="Arial" w:cs="Arial"/>
        </w:rPr>
        <w:t>4</w:t>
      </w:r>
      <w:r w:rsidR="005B11C3" w:rsidRPr="007E723F">
        <w:rPr>
          <w:rStyle w:val="MahindraSubheadingChar"/>
          <w:rFonts w:ascii="Arial" w:hAnsi="Arial" w:cs="Arial"/>
        </w:rPr>
        <w:t xml:space="preserve">.2 </w:t>
      </w:r>
      <w:r w:rsidR="00DC55DE">
        <w:rPr>
          <w:rStyle w:val="MahindraSubheadingChar"/>
          <w:rFonts w:ascii="Arial" w:hAnsi="Arial" w:cs="Arial"/>
        </w:rPr>
        <w:t>VA Process Flow</w:t>
      </w:r>
    </w:p>
    <w:tbl>
      <w:tblPr>
        <w:tblW w:w="10580" w:type="dxa"/>
        <w:tblInd w:w="91" w:type="dxa"/>
        <w:tblLook w:val="04A0" w:firstRow="1" w:lastRow="0" w:firstColumn="1" w:lastColumn="0" w:noHBand="0" w:noVBand="1"/>
      </w:tblPr>
      <w:tblGrid>
        <w:gridCol w:w="950"/>
        <w:gridCol w:w="4246"/>
        <w:gridCol w:w="1583"/>
        <w:gridCol w:w="2068"/>
        <w:gridCol w:w="1733"/>
      </w:tblGrid>
      <w:tr w:rsidR="002D32FE" w:rsidRPr="002D32FE" w14:paraId="7DFD2641" w14:textId="77777777" w:rsidTr="009109BD">
        <w:trPr>
          <w:trHeight w:val="750"/>
        </w:trPr>
        <w:tc>
          <w:tcPr>
            <w:tcW w:w="950" w:type="dxa"/>
            <w:tcBorders>
              <w:top w:val="single" w:sz="8" w:space="0" w:color="auto"/>
              <w:left w:val="single" w:sz="8" w:space="0" w:color="auto"/>
              <w:bottom w:val="single" w:sz="8" w:space="0" w:color="auto"/>
              <w:right w:val="single" w:sz="8" w:space="0" w:color="auto"/>
            </w:tcBorders>
            <w:shd w:val="clear" w:color="000000" w:fill="C00000"/>
            <w:hideMark/>
          </w:tcPr>
          <w:p w14:paraId="1B70929C" w14:textId="77777777" w:rsidR="002D32FE" w:rsidRPr="002D32FE" w:rsidRDefault="002D32FE" w:rsidP="002D32FE">
            <w:pPr>
              <w:spacing w:after="0" w:line="240" w:lineRule="auto"/>
              <w:jc w:val="both"/>
              <w:rPr>
                <w:rFonts w:ascii="Arial" w:eastAsia="Times New Roman" w:hAnsi="Arial" w:cs="Arial"/>
                <w:b/>
                <w:bCs/>
                <w:color w:val="FFFFFF"/>
                <w:sz w:val="20"/>
                <w:szCs w:val="20"/>
              </w:rPr>
            </w:pPr>
            <w:r w:rsidRPr="002D32FE">
              <w:rPr>
                <w:rFonts w:ascii="Arial" w:eastAsia="Times New Roman" w:hAnsi="Arial" w:cs="Arial"/>
                <w:b/>
                <w:bCs/>
                <w:color w:val="FFFFFF"/>
                <w:sz w:val="20"/>
                <w:szCs w:val="20"/>
              </w:rPr>
              <w:t>Sl. No.</w:t>
            </w:r>
          </w:p>
        </w:tc>
        <w:tc>
          <w:tcPr>
            <w:tcW w:w="4246" w:type="dxa"/>
            <w:tcBorders>
              <w:top w:val="single" w:sz="8" w:space="0" w:color="auto"/>
              <w:left w:val="nil"/>
              <w:bottom w:val="single" w:sz="8" w:space="0" w:color="auto"/>
              <w:right w:val="single" w:sz="8" w:space="0" w:color="auto"/>
            </w:tcBorders>
            <w:shd w:val="clear" w:color="000000" w:fill="C00000"/>
            <w:hideMark/>
          </w:tcPr>
          <w:p w14:paraId="48B52D48" w14:textId="77777777" w:rsidR="002D32FE" w:rsidRPr="002D32FE" w:rsidRDefault="002D32FE" w:rsidP="002D32FE">
            <w:pPr>
              <w:spacing w:after="0" w:line="240" w:lineRule="auto"/>
              <w:jc w:val="both"/>
              <w:rPr>
                <w:rFonts w:ascii="Arial" w:eastAsia="Times New Roman" w:hAnsi="Arial" w:cs="Arial"/>
                <w:b/>
                <w:bCs/>
                <w:color w:val="FFFFFF"/>
                <w:sz w:val="20"/>
                <w:szCs w:val="20"/>
              </w:rPr>
            </w:pPr>
            <w:r w:rsidRPr="002D32FE">
              <w:rPr>
                <w:rFonts w:ascii="Arial" w:eastAsia="Times New Roman" w:hAnsi="Arial" w:cs="Arial"/>
                <w:b/>
                <w:bCs/>
                <w:color w:val="FFFFFF"/>
                <w:sz w:val="20"/>
                <w:szCs w:val="20"/>
              </w:rPr>
              <w:t>Activity</w:t>
            </w:r>
          </w:p>
        </w:tc>
        <w:tc>
          <w:tcPr>
            <w:tcW w:w="1583" w:type="dxa"/>
            <w:tcBorders>
              <w:top w:val="single" w:sz="8" w:space="0" w:color="auto"/>
              <w:left w:val="nil"/>
              <w:bottom w:val="single" w:sz="8" w:space="0" w:color="auto"/>
              <w:right w:val="single" w:sz="8" w:space="0" w:color="auto"/>
            </w:tcBorders>
            <w:shd w:val="clear" w:color="000000" w:fill="C00000"/>
            <w:hideMark/>
          </w:tcPr>
          <w:p w14:paraId="69970F5A" w14:textId="77777777" w:rsidR="002D32FE" w:rsidRPr="002D32FE" w:rsidRDefault="002D32FE" w:rsidP="002D32FE">
            <w:pPr>
              <w:spacing w:after="0" w:line="240" w:lineRule="auto"/>
              <w:jc w:val="both"/>
              <w:rPr>
                <w:rFonts w:ascii="Arial" w:eastAsia="Times New Roman" w:hAnsi="Arial" w:cs="Arial"/>
                <w:b/>
                <w:bCs/>
                <w:color w:val="FFFFFF"/>
                <w:sz w:val="20"/>
                <w:szCs w:val="20"/>
              </w:rPr>
            </w:pPr>
            <w:r w:rsidRPr="002D32FE">
              <w:rPr>
                <w:rFonts w:ascii="Arial" w:eastAsia="Times New Roman" w:hAnsi="Arial" w:cs="Arial"/>
                <w:b/>
                <w:bCs/>
                <w:color w:val="FFFFFF"/>
                <w:sz w:val="20"/>
                <w:szCs w:val="20"/>
              </w:rPr>
              <w:t>Responsibility</w:t>
            </w:r>
          </w:p>
        </w:tc>
        <w:tc>
          <w:tcPr>
            <w:tcW w:w="2068" w:type="dxa"/>
            <w:tcBorders>
              <w:top w:val="single" w:sz="8" w:space="0" w:color="auto"/>
              <w:left w:val="nil"/>
              <w:bottom w:val="single" w:sz="8" w:space="0" w:color="auto"/>
              <w:right w:val="single" w:sz="8" w:space="0" w:color="auto"/>
            </w:tcBorders>
            <w:shd w:val="clear" w:color="000000" w:fill="C00000"/>
            <w:hideMark/>
          </w:tcPr>
          <w:p w14:paraId="6334D49F" w14:textId="77777777" w:rsidR="002D32FE" w:rsidRPr="002D32FE" w:rsidRDefault="002D32FE" w:rsidP="002D32FE">
            <w:pPr>
              <w:spacing w:after="0" w:line="240" w:lineRule="auto"/>
              <w:jc w:val="both"/>
              <w:rPr>
                <w:rFonts w:ascii="Arial" w:eastAsia="Times New Roman" w:hAnsi="Arial" w:cs="Arial"/>
                <w:b/>
                <w:bCs/>
                <w:color w:val="FFFFFF"/>
                <w:sz w:val="20"/>
                <w:szCs w:val="20"/>
              </w:rPr>
            </w:pPr>
            <w:r w:rsidRPr="002D32FE">
              <w:rPr>
                <w:rFonts w:ascii="Arial" w:eastAsia="Times New Roman" w:hAnsi="Arial" w:cs="Arial"/>
                <w:b/>
                <w:bCs/>
                <w:color w:val="FFFFFF"/>
                <w:sz w:val="20"/>
                <w:szCs w:val="20"/>
              </w:rPr>
              <w:t>Output</w:t>
            </w:r>
          </w:p>
        </w:tc>
        <w:tc>
          <w:tcPr>
            <w:tcW w:w="1733" w:type="dxa"/>
            <w:tcBorders>
              <w:top w:val="single" w:sz="8" w:space="0" w:color="auto"/>
              <w:left w:val="nil"/>
              <w:bottom w:val="single" w:sz="8" w:space="0" w:color="auto"/>
              <w:right w:val="single" w:sz="8" w:space="0" w:color="auto"/>
            </w:tcBorders>
            <w:shd w:val="clear" w:color="000000" w:fill="C00000"/>
            <w:hideMark/>
          </w:tcPr>
          <w:p w14:paraId="7CCDCB4C" w14:textId="77777777" w:rsidR="002D32FE" w:rsidRPr="002D32FE" w:rsidRDefault="002D32FE" w:rsidP="002D32FE">
            <w:pPr>
              <w:spacing w:after="0" w:line="240" w:lineRule="auto"/>
              <w:ind w:firstLineChars="100" w:firstLine="201"/>
              <w:rPr>
                <w:rFonts w:ascii="Arial" w:eastAsia="Times New Roman" w:hAnsi="Arial" w:cs="Arial"/>
                <w:b/>
                <w:bCs/>
                <w:color w:val="FFFFFF"/>
                <w:sz w:val="20"/>
                <w:szCs w:val="20"/>
              </w:rPr>
            </w:pPr>
            <w:r w:rsidRPr="002D32FE">
              <w:rPr>
                <w:rFonts w:ascii="Arial" w:eastAsia="Times New Roman" w:hAnsi="Arial" w:cs="Arial"/>
                <w:b/>
                <w:bCs/>
                <w:color w:val="FFFFFF"/>
                <w:sz w:val="20"/>
                <w:szCs w:val="20"/>
              </w:rPr>
              <w:t>Internal SLAs/ Performance Criteria</w:t>
            </w:r>
          </w:p>
        </w:tc>
      </w:tr>
      <w:tr w:rsidR="002D32FE" w:rsidRPr="002D32FE" w14:paraId="5A38CA08" w14:textId="77777777" w:rsidTr="009109BD">
        <w:trPr>
          <w:trHeight w:val="675"/>
        </w:trPr>
        <w:tc>
          <w:tcPr>
            <w:tcW w:w="950" w:type="dxa"/>
            <w:tcBorders>
              <w:top w:val="nil"/>
              <w:left w:val="single" w:sz="8" w:space="0" w:color="auto"/>
              <w:bottom w:val="single" w:sz="8" w:space="0" w:color="auto"/>
              <w:right w:val="single" w:sz="8" w:space="0" w:color="auto"/>
            </w:tcBorders>
            <w:shd w:val="clear" w:color="auto" w:fill="auto"/>
            <w:hideMark/>
          </w:tcPr>
          <w:p w14:paraId="73B1915C"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1</w:t>
            </w:r>
          </w:p>
        </w:tc>
        <w:tc>
          <w:tcPr>
            <w:tcW w:w="4246" w:type="dxa"/>
            <w:tcBorders>
              <w:top w:val="nil"/>
              <w:left w:val="nil"/>
              <w:bottom w:val="single" w:sz="8" w:space="0" w:color="auto"/>
              <w:right w:val="single" w:sz="8" w:space="0" w:color="auto"/>
            </w:tcBorders>
            <w:shd w:val="clear" w:color="auto" w:fill="auto"/>
            <w:hideMark/>
          </w:tcPr>
          <w:p w14:paraId="7E225919"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Perform Vulnerability Scanning and Conduct Random Sample Checks</w:t>
            </w:r>
          </w:p>
        </w:tc>
        <w:tc>
          <w:tcPr>
            <w:tcW w:w="1583" w:type="dxa"/>
            <w:tcBorders>
              <w:top w:val="nil"/>
              <w:left w:val="nil"/>
              <w:bottom w:val="single" w:sz="8" w:space="0" w:color="auto"/>
              <w:right w:val="single" w:sz="8" w:space="0" w:color="auto"/>
            </w:tcBorders>
            <w:shd w:val="clear" w:color="auto" w:fill="auto"/>
            <w:hideMark/>
          </w:tcPr>
          <w:p w14:paraId="06C11CD4"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nil"/>
              <w:left w:val="nil"/>
              <w:bottom w:val="single" w:sz="8" w:space="0" w:color="auto"/>
              <w:right w:val="single" w:sz="8" w:space="0" w:color="auto"/>
            </w:tcBorders>
            <w:shd w:val="clear" w:color="auto" w:fill="auto"/>
            <w:hideMark/>
          </w:tcPr>
          <w:p w14:paraId="397BB786"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List of  systems vulnerabilities</w:t>
            </w:r>
          </w:p>
        </w:tc>
        <w:tc>
          <w:tcPr>
            <w:tcW w:w="1733" w:type="dxa"/>
            <w:tcBorders>
              <w:top w:val="nil"/>
              <w:left w:val="nil"/>
              <w:bottom w:val="single" w:sz="8" w:space="0" w:color="auto"/>
              <w:right w:val="single" w:sz="8" w:space="0" w:color="auto"/>
            </w:tcBorders>
            <w:shd w:val="clear" w:color="auto" w:fill="auto"/>
            <w:hideMark/>
          </w:tcPr>
          <w:p w14:paraId="5A3C6698"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05919F52" w14:textId="77777777" w:rsidTr="009109BD">
        <w:trPr>
          <w:trHeight w:val="690"/>
        </w:trPr>
        <w:tc>
          <w:tcPr>
            <w:tcW w:w="950" w:type="dxa"/>
            <w:tcBorders>
              <w:top w:val="nil"/>
              <w:left w:val="single" w:sz="8" w:space="0" w:color="auto"/>
              <w:bottom w:val="single" w:sz="8" w:space="0" w:color="auto"/>
              <w:right w:val="single" w:sz="8" w:space="0" w:color="auto"/>
            </w:tcBorders>
            <w:shd w:val="clear" w:color="auto" w:fill="auto"/>
            <w:hideMark/>
          </w:tcPr>
          <w:p w14:paraId="4FAB7590"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2</w:t>
            </w:r>
          </w:p>
        </w:tc>
        <w:tc>
          <w:tcPr>
            <w:tcW w:w="4246" w:type="dxa"/>
            <w:tcBorders>
              <w:top w:val="nil"/>
              <w:left w:val="nil"/>
              <w:bottom w:val="single" w:sz="8" w:space="0" w:color="auto"/>
              <w:right w:val="single" w:sz="8" w:space="0" w:color="auto"/>
            </w:tcBorders>
            <w:shd w:val="clear" w:color="auto" w:fill="auto"/>
            <w:hideMark/>
          </w:tcPr>
          <w:p w14:paraId="7FC9FB49"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Circulate Scan Notification and Scan schedule</w:t>
            </w:r>
          </w:p>
        </w:tc>
        <w:tc>
          <w:tcPr>
            <w:tcW w:w="1583" w:type="dxa"/>
            <w:tcBorders>
              <w:top w:val="nil"/>
              <w:left w:val="nil"/>
              <w:bottom w:val="single" w:sz="8" w:space="0" w:color="auto"/>
              <w:right w:val="single" w:sz="8" w:space="0" w:color="auto"/>
            </w:tcBorders>
            <w:shd w:val="clear" w:color="auto" w:fill="auto"/>
            <w:hideMark/>
          </w:tcPr>
          <w:p w14:paraId="02BA27E5"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nil"/>
              <w:left w:val="nil"/>
              <w:bottom w:val="single" w:sz="8" w:space="0" w:color="auto"/>
              <w:right w:val="single" w:sz="8" w:space="0" w:color="auto"/>
            </w:tcBorders>
            <w:shd w:val="clear" w:color="auto" w:fill="auto"/>
            <w:hideMark/>
          </w:tcPr>
          <w:p w14:paraId="3A991FC8"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Scan notification</w:t>
            </w:r>
          </w:p>
        </w:tc>
        <w:tc>
          <w:tcPr>
            <w:tcW w:w="1733" w:type="dxa"/>
            <w:tcBorders>
              <w:top w:val="nil"/>
              <w:left w:val="nil"/>
              <w:bottom w:val="single" w:sz="8" w:space="0" w:color="auto"/>
              <w:right w:val="single" w:sz="8" w:space="0" w:color="auto"/>
            </w:tcBorders>
            <w:shd w:val="clear" w:color="auto" w:fill="auto"/>
            <w:hideMark/>
          </w:tcPr>
          <w:p w14:paraId="1F652037" w14:textId="77777777" w:rsidR="002D32FE" w:rsidRPr="002D32FE" w:rsidRDefault="002D32FE" w:rsidP="002D32FE">
            <w:pPr>
              <w:spacing w:after="0" w:line="240" w:lineRule="auto"/>
              <w:ind w:firstLineChars="100" w:firstLine="160"/>
              <w:rPr>
                <w:rFonts w:ascii="Arial" w:eastAsia="Times New Roman" w:hAnsi="Arial" w:cs="Arial"/>
                <w:color w:val="000000"/>
                <w:sz w:val="16"/>
                <w:szCs w:val="16"/>
              </w:rPr>
            </w:pPr>
            <w:r w:rsidRPr="002D32FE">
              <w:rPr>
                <w:rFonts w:ascii="Arial" w:eastAsia="Times New Roman" w:hAnsi="Arial" w:cs="Arial"/>
                <w:color w:val="000000"/>
                <w:sz w:val="16"/>
                <w:szCs w:val="16"/>
                <w:lang w:val="en-GB"/>
              </w:rPr>
              <w:t>NIL</w:t>
            </w:r>
          </w:p>
        </w:tc>
      </w:tr>
      <w:tr w:rsidR="002D32FE" w:rsidRPr="002D32FE" w14:paraId="3D01293F" w14:textId="77777777" w:rsidTr="009109BD">
        <w:trPr>
          <w:trHeight w:val="585"/>
        </w:trPr>
        <w:tc>
          <w:tcPr>
            <w:tcW w:w="950" w:type="dxa"/>
            <w:tcBorders>
              <w:top w:val="nil"/>
              <w:left w:val="single" w:sz="8" w:space="0" w:color="auto"/>
              <w:bottom w:val="single" w:sz="8" w:space="0" w:color="auto"/>
              <w:right w:val="single" w:sz="8" w:space="0" w:color="auto"/>
            </w:tcBorders>
            <w:shd w:val="clear" w:color="auto" w:fill="auto"/>
            <w:hideMark/>
          </w:tcPr>
          <w:p w14:paraId="3E99CF40"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lastRenderedPageBreak/>
              <w:t>3</w:t>
            </w:r>
          </w:p>
        </w:tc>
        <w:tc>
          <w:tcPr>
            <w:tcW w:w="4246" w:type="dxa"/>
            <w:tcBorders>
              <w:top w:val="nil"/>
              <w:left w:val="nil"/>
              <w:bottom w:val="single" w:sz="8" w:space="0" w:color="auto"/>
              <w:right w:val="single" w:sz="8" w:space="0" w:color="auto"/>
            </w:tcBorders>
            <w:shd w:val="clear" w:color="auto" w:fill="auto"/>
            <w:hideMark/>
          </w:tcPr>
          <w:p w14:paraId="2DB0A883" w14:textId="77777777" w:rsidR="002D32FE" w:rsidRPr="002D32FE" w:rsidRDefault="00D47843" w:rsidP="00D47843">
            <w:pPr>
              <w:spacing w:after="0" w:line="240" w:lineRule="auto"/>
              <w:rPr>
                <w:rFonts w:ascii="Arial" w:eastAsia="Times New Roman" w:hAnsi="Arial" w:cs="Arial"/>
                <w:color w:val="000000"/>
              </w:rPr>
            </w:pPr>
            <w:r>
              <w:rPr>
                <w:rFonts w:ascii="Arial" w:eastAsia="Times New Roman" w:hAnsi="Arial" w:cs="Arial"/>
                <w:color w:val="000000"/>
              </w:rPr>
              <w:t>Set the baseline for scanning</w:t>
            </w:r>
            <w:r w:rsidR="002D32FE" w:rsidRPr="002D32FE">
              <w:rPr>
                <w:rFonts w:ascii="Arial" w:eastAsia="Times New Roman" w:hAnsi="Arial" w:cs="Arial"/>
                <w:color w:val="000000"/>
              </w:rPr>
              <w:t>.</w:t>
            </w:r>
          </w:p>
        </w:tc>
        <w:tc>
          <w:tcPr>
            <w:tcW w:w="1583" w:type="dxa"/>
            <w:tcBorders>
              <w:top w:val="nil"/>
              <w:left w:val="nil"/>
              <w:bottom w:val="single" w:sz="8" w:space="0" w:color="auto"/>
              <w:right w:val="single" w:sz="8" w:space="0" w:color="auto"/>
            </w:tcBorders>
            <w:shd w:val="clear" w:color="auto" w:fill="auto"/>
            <w:hideMark/>
          </w:tcPr>
          <w:p w14:paraId="6D3D7065"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r w:rsidRPr="002D32FE">
              <w:rPr>
                <w:rFonts w:ascii="Arial" w:eastAsia="Times New Roman" w:hAnsi="Arial" w:cs="Arial"/>
                <w:color w:val="000000"/>
                <w:sz w:val="36"/>
                <w:szCs w:val="36"/>
              </w:rPr>
              <w:t xml:space="preserve"> </w:t>
            </w:r>
          </w:p>
        </w:tc>
        <w:tc>
          <w:tcPr>
            <w:tcW w:w="2068" w:type="dxa"/>
            <w:tcBorders>
              <w:top w:val="nil"/>
              <w:left w:val="nil"/>
              <w:bottom w:val="single" w:sz="8" w:space="0" w:color="auto"/>
              <w:right w:val="single" w:sz="8" w:space="0" w:color="auto"/>
            </w:tcBorders>
            <w:shd w:val="clear" w:color="auto" w:fill="auto"/>
            <w:hideMark/>
          </w:tcPr>
          <w:p w14:paraId="690DC57B" w14:textId="77777777" w:rsidR="002D32FE" w:rsidRPr="002D32FE" w:rsidRDefault="002D32FE" w:rsidP="002D32FE">
            <w:pPr>
              <w:spacing w:after="0" w:line="240" w:lineRule="auto"/>
              <w:ind w:firstLineChars="100" w:firstLine="220"/>
              <w:rPr>
                <w:rFonts w:ascii="Arial" w:eastAsia="Times New Roman" w:hAnsi="Arial" w:cs="Arial"/>
                <w:color w:val="000000"/>
              </w:rPr>
            </w:pPr>
          </w:p>
        </w:tc>
        <w:tc>
          <w:tcPr>
            <w:tcW w:w="1733" w:type="dxa"/>
            <w:tcBorders>
              <w:top w:val="nil"/>
              <w:left w:val="nil"/>
              <w:bottom w:val="single" w:sz="8" w:space="0" w:color="auto"/>
              <w:right w:val="single" w:sz="8" w:space="0" w:color="auto"/>
            </w:tcBorders>
            <w:shd w:val="clear" w:color="auto" w:fill="auto"/>
            <w:hideMark/>
          </w:tcPr>
          <w:p w14:paraId="505DE403" w14:textId="77777777" w:rsidR="002D32FE" w:rsidRPr="002D32FE" w:rsidRDefault="002D32FE" w:rsidP="002D32FE">
            <w:pPr>
              <w:spacing w:after="0" w:line="240" w:lineRule="auto"/>
              <w:ind w:firstLineChars="100" w:firstLine="160"/>
              <w:rPr>
                <w:rFonts w:ascii="Arial" w:eastAsia="Times New Roman" w:hAnsi="Arial" w:cs="Arial"/>
                <w:color w:val="000000"/>
                <w:sz w:val="16"/>
                <w:szCs w:val="16"/>
              </w:rPr>
            </w:pPr>
            <w:r w:rsidRPr="002D32FE">
              <w:rPr>
                <w:rFonts w:ascii="Arial" w:eastAsia="Times New Roman" w:hAnsi="Arial" w:cs="Arial"/>
                <w:color w:val="000000"/>
                <w:sz w:val="16"/>
                <w:szCs w:val="16"/>
                <w:lang w:val="en-GB"/>
              </w:rPr>
              <w:t>NIL</w:t>
            </w:r>
          </w:p>
        </w:tc>
      </w:tr>
      <w:tr w:rsidR="002D32FE" w:rsidRPr="002D32FE" w14:paraId="2D55F0A2" w14:textId="77777777" w:rsidTr="009109BD">
        <w:trPr>
          <w:trHeight w:val="900"/>
        </w:trPr>
        <w:tc>
          <w:tcPr>
            <w:tcW w:w="950" w:type="dxa"/>
            <w:tcBorders>
              <w:top w:val="nil"/>
              <w:left w:val="single" w:sz="8" w:space="0" w:color="auto"/>
              <w:bottom w:val="single" w:sz="8" w:space="0" w:color="auto"/>
              <w:right w:val="single" w:sz="8" w:space="0" w:color="auto"/>
            </w:tcBorders>
            <w:shd w:val="clear" w:color="auto" w:fill="auto"/>
            <w:hideMark/>
          </w:tcPr>
          <w:p w14:paraId="70982DC6"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4</w:t>
            </w:r>
          </w:p>
        </w:tc>
        <w:tc>
          <w:tcPr>
            <w:tcW w:w="4246" w:type="dxa"/>
            <w:tcBorders>
              <w:top w:val="nil"/>
              <w:left w:val="nil"/>
              <w:bottom w:val="single" w:sz="8" w:space="0" w:color="auto"/>
              <w:right w:val="single" w:sz="8" w:space="0" w:color="auto"/>
            </w:tcBorders>
            <w:shd w:val="clear" w:color="auto" w:fill="auto"/>
            <w:hideMark/>
          </w:tcPr>
          <w:p w14:paraId="1921079B"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 xml:space="preserve">Perform vulnerability scanning as per schedule and compile the reports for high and medium </w:t>
            </w:r>
            <w:r w:rsidR="00EF5C2A">
              <w:rPr>
                <w:rFonts w:ascii="Arial" w:eastAsia="Times New Roman" w:hAnsi="Arial" w:cs="Arial"/>
                <w:color w:val="000000"/>
              </w:rPr>
              <w:t xml:space="preserve">and low </w:t>
            </w:r>
            <w:r w:rsidRPr="002D32FE">
              <w:rPr>
                <w:rFonts w:ascii="Arial" w:eastAsia="Times New Roman" w:hAnsi="Arial" w:cs="Arial"/>
                <w:color w:val="000000"/>
              </w:rPr>
              <w:t>vulnerabilities.</w:t>
            </w:r>
          </w:p>
        </w:tc>
        <w:tc>
          <w:tcPr>
            <w:tcW w:w="1583" w:type="dxa"/>
            <w:tcBorders>
              <w:top w:val="nil"/>
              <w:left w:val="nil"/>
              <w:bottom w:val="single" w:sz="8" w:space="0" w:color="auto"/>
              <w:right w:val="single" w:sz="8" w:space="0" w:color="auto"/>
            </w:tcBorders>
            <w:shd w:val="clear" w:color="auto" w:fill="auto"/>
            <w:hideMark/>
          </w:tcPr>
          <w:p w14:paraId="232D96C2"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nil"/>
              <w:left w:val="nil"/>
              <w:bottom w:val="single" w:sz="8" w:space="0" w:color="auto"/>
              <w:right w:val="single" w:sz="8" w:space="0" w:color="auto"/>
            </w:tcBorders>
            <w:shd w:val="clear" w:color="auto" w:fill="auto"/>
            <w:hideMark/>
          </w:tcPr>
          <w:p w14:paraId="26FD54F6"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Vulnerability assessment scan reports</w:t>
            </w:r>
          </w:p>
        </w:tc>
        <w:tc>
          <w:tcPr>
            <w:tcW w:w="1733" w:type="dxa"/>
            <w:tcBorders>
              <w:top w:val="nil"/>
              <w:left w:val="nil"/>
              <w:bottom w:val="single" w:sz="8" w:space="0" w:color="auto"/>
              <w:right w:val="single" w:sz="8" w:space="0" w:color="auto"/>
            </w:tcBorders>
            <w:shd w:val="clear" w:color="auto" w:fill="auto"/>
            <w:hideMark/>
          </w:tcPr>
          <w:p w14:paraId="5FB13BF4"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6ADC24FB" w14:textId="77777777" w:rsidTr="009109BD">
        <w:trPr>
          <w:trHeight w:val="990"/>
        </w:trPr>
        <w:tc>
          <w:tcPr>
            <w:tcW w:w="950" w:type="dxa"/>
            <w:tcBorders>
              <w:top w:val="nil"/>
              <w:left w:val="single" w:sz="8" w:space="0" w:color="auto"/>
              <w:bottom w:val="single" w:sz="8" w:space="0" w:color="auto"/>
              <w:right w:val="single" w:sz="8" w:space="0" w:color="auto"/>
            </w:tcBorders>
            <w:shd w:val="clear" w:color="auto" w:fill="auto"/>
            <w:hideMark/>
          </w:tcPr>
          <w:p w14:paraId="54FD4D65"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5</w:t>
            </w:r>
          </w:p>
        </w:tc>
        <w:tc>
          <w:tcPr>
            <w:tcW w:w="4246" w:type="dxa"/>
            <w:tcBorders>
              <w:top w:val="nil"/>
              <w:left w:val="nil"/>
              <w:bottom w:val="single" w:sz="8" w:space="0" w:color="auto"/>
              <w:right w:val="single" w:sz="8" w:space="0" w:color="auto"/>
            </w:tcBorders>
            <w:shd w:val="clear" w:color="auto" w:fill="auto"/>
            <w:hideMark/>
          </w:tcPr>
          <w:p w14:paraId="148EEDAA" w14:textId="77777777" w:rsidR="002D32FE" w:rsidRPr="002D32FE" w:rsidRDefault="002D32FE" w:rsidP="005061B6">
            <w:pPr>
              <w:spacing w:after="0" w:line="240" w:lineRule="auto"/>
              <w:rPr>
                <w:rFonts w:ascii="Arial" w:eastAsia="Times New Roman" w:hAnsi="Arial" w:cs="Arial"/>
                <w:color w:val="000000"/>
              </w:rPr>
            </w:pPr>
            <w:r w:rsidRPr="002D32FE">
              <w:rPr>
                <w:rFonts w:ascii="Arial" w:eastAsia="Times New Roman" w:hAnsi="Arial" w:cs="Arial"/>
                <w:color w:val="000000"/>
              </w:rPr>
              <w:t>After scanning AMCST will send the list of high and medium</w:t>
            </w:r>
            <w:r w:rsidR="009C7F1D">
              <w:rPr>
                <w:rFonts w:ascii="Arial" w:eastAsia="Times New Roman" w:hAnsi="Arial" w:cs="Arial"/>
                <w:color w:val="000000"/>
              </w:rPr>
              <w:t xml:space="preserve">, </w:t>
            </w:r>
            <w:proofErr w:type="gramStart"/>
            <w:r w:rsidR="009C7F1D">
              <w:rPr>
                <w:rFonts w:ascii="Arial" w:eastAsia="Times New Roman" w:hAnsi="Arial" w:cs="Arial"/>
                <w:color w:val="000000"/>
              </w:rPr>
              <w:t xml:space="preserve">low </w:t>
            </w:r>
            <w:r w:rsidRPr="002D32FE">
              <w:rPr>
                <w:rFonts w:ascii="Arial" w:eastAsia="Times New Roman" w:hAnsi="Arial" w:cs="Arial"/>
                <w:color w:val="000000"/>
              </w:rPr>
              <w:t xml:space="preserve"> vulnerabilities</w:t>
            </w:r>
            <w:proofErr w:type="gramEnd"/>
            <w:r w:rsidRPr="002D32FE">
              <w:rPr>
                <w:rFonts w:ascii="Arial" w:eastAsia="Times New Roman" w:hAnsi="Arial" w:cs="Arial"/>
                <w:color w:val="000000"/>
              </w:rPr>
              <w:t xml:space="preserve"> report to </w:t>
            </w:r>
            <w:proofErr w:type="spellStart"/>
            <w:r w:rsidR="005061B6">
              <w:rPr>
                <w:rFonts w:ascii="Arial" w:eastAsia="Times New Roman" w:hAnsi="Arial" w:cs="Arial"/>
                <w:color w:val="000000"/>
              </w:rPr>
              <w:t>Comviva</w:t>
            </w:r>
            <w:proofErr w:type="spellEnd"/>
            <w:r w:rsidR="005061B6">
              <w:rPr>
                <w:rFonts w:ascii="Arial" w:eastAsia="Times New Roman" w:hAnsi="Arial" w:cs="Arial"/>
                <w:color w:val="000000"/>
              </w:rPr>
              <w:t xml:space="preserve"> Operations</w:t>
            </w:r>
            <w:r w:rsidRPr="002D32FE">
              <w:rPr>
                <w:rFonts w:ascii="Arial" w:eastAsia="Times New Roman" w:hAnsi="Arial" w:cs="Arial"/>
                <w:color w:val="000000"/>
              </w:rPr>
              <w:t xml:space="preserve"> Team.</w:t>
            </w:r>
          </w:p>
        </w:tc>
        <w:tc>
          <w:tcPr>
            <w:tcW w:w="1583" w:type="dxa"/>
            <w:tcBorders>
              <w:top w:val="nil"/>
              <w:left w:val="nil"/>
              <w:bottom w:val="single" w:sz="8" w:space="0" w:color="auto"/>
              <w:right w:val="single" w:sz="8" w:space="0" w:color="auto"/>
            </w:tcBorders>
            <w:shd w:val="clear" w:color="auto" w:fill="auto"/>
            <w:hideMark/>
          </w:tcPr>
          <w:p w14:paraId="4A4061A8"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nil"/>
              <w:left w:val="nil"/>
              <w:bottom w:val="single" w:sz="8" w:space="0" w:color="auto"/>
              <w:right w:val="single" w:sz="8" w:space="0" w:color="auto"/>
            </w:tcBorders>
            <w:shd w:val="clear" w:color="auto" w:fill="auto"/>
            <w:hideMark/>
          </w:tcPr>
          <w:p w14:paraId="22EF4E23"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List of high and medium</w:t>
            </w:r>
            <w:r w:rsidR="009C7F1D">
              <w:rPr>
                <w:rFonts w:ascii="Arial" w:eastAsia="Times New Roman" w:hAnsi="Arial" w:cs="Arial"/>
                <w:color w:val="000000"/>
              </w:rPr>
              <w:t>, low</w:t>
            </w:r>
            <w:r w:rsidRPr="002D32FE">
              <w:rPr>
                <w:rFonts w:ascii="Arial" w:eastAsia="Times New Roman" w:hAnsi="Arial" w:cs="Arial"/>
                <w:color w:val="000000"/>
              </w:rPr>
              <w:t xml:space="preserve"> vulnerabilities report</w:t>
            </w:r>
          </w:p>
        </w:tc>
        <w:tc>
          <w:tcPr>
            <w:tcW w:w="1733" w:type="dxa"/>
            <w:tcBorders>
              <w:top w:val="nil"/>
              <w:left w:val="nil"/>
              <w:bottom w:val="single" w:sz="8" w:space="0" w:color="auto"/>
              <w:right w:val="single" w:sz="8" w:space="0" w:color="auto"/>
            </w:tcBorders>
            <w:shd w:val="clear" w:color="auto" w:fill="auto"/>
            <w:hideMark/>
          </w:tcPr>
          <w:p w14:paraId="519561F7"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71A76D57" w14:textId="77777777" w:rsidTr="0093330E">
        <w:trPr>
          <w:trHeight w:val="1294"/>
        </w:trPr>
        <w:tc>
          <w:tcPr>
            <w:tcW w:w="950" w:type="dxa"/>
            <w:tcBorders>
              <w:top w:val="nil"/>
              <w:left w:val="single" w:sz="8" w:space="0" w:color="auto"/>
              <w:bottom w:val="single" w:sz="8" w:space="0" w:color="auto"/>
              <w:right w:val="single" w:sz="8" w:space="0" w:color="auto"/>
            </w:tcBorders>
            <w:shd w:val="clear" w:color="auto" w:fill="auto"/>
            <w:hideMark/>
          </w:tcPr>
          <w:p w14:paraId="1A83B2BD"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6</w:t>
            </w:r>
          </w:p>
        </w:tc>
        <w:tc>
          <w:tcPr>
            <w:tcW w:w="4246" w:type="dxa"/>
            <w:tcBorders>
              <w:top w:val="nil"/>
              <w:left w:val="nil"/>
              <w:bottom w:val="single" w:sz="8" w:space="0" w:color="auto"/>
              <w:right w:val="single" w:sz="8" w:space="0" w:color="auto"/>
            </w:tcBorders>
            <w:shd w:val="clear" w:color="auto" w:fill="auto"/>
            <w:hideMark/>
          </w:tcPr>
          <w:p w14:paraId="496CB262" w14:textId="77777777" w:rsidR="002D32FE" w:rsidRPr="002D32FE" w:rsidRDefault="00552E2D" w:rsidP="002D32FE">
            <w:pPr>
              <w:spacing w:after="0" w:line="240" w:lineRule="auto"/>
              <w:rPr>
                <w:rFonts w:ascii="Arial" w:eastAsia="Times New Roman" w:hAnsi="Arial" w:cs="Arial"/>
                <w:color w:val="000000"/>
              </w:rPr>
            </w:pPr>
            <w:r>
              <w:rPr>
                <w:rFonts w:ascii="Arial" w:eastAsia="Times New Roman" w:hAnsi="Arial" w:cs="Arial"/>
                <w:color w:val="000000"/>
              </w:rPr>
              <w:t xml:space="preserve">Collect </w:t>
            </w:r>
            <w:r w:rsidR="002D32FE" w:rsidRPr="002D32FE">
              <w:rPr>
                <w:rFonts w:ascii="Arial" w:eastAsia="Times New Roman" w:hAnsi="Arial" w:cs="Arial"/>
                <w:color w:val="000000"/>
              </w:rPr>
              <w:t xml:space="preserve">closure artifacts only for servers, network devices and security devices of </w:t>
            </w:r>
            <w:r w:rsidR="00DE1D10">
              <w:rPr>
                <w:rFonts w:ascii="Arial" w:eastAsia="Times New Roman" w:hAnsi="Arial" w:cs="Arial"/>
                <w:color w:val="000000"/>
              </w:rPr>
              <w:t>Airtel Money</w:t>
            </w:r>
            <w:r w:rsidR="002D32FE" w:rsidRPr="002D32FE">
              <w:rPr>
                <w:rFonts w:ascii="Arial" w:eastAsia="Times New Roman" w:hAnsi="Arial" w:cs="Arial"/>
                <w:color w:val="000000"/>
              </w:rPr>
              <w:t xml:space="preserve"> environment. As soon as artifacts are uploaded VA Alert will be sent for closure artifacts validation</w:t>
            </w:r>
          </w:p>
        </w:tc>
        <w:tc>
          <w:tcPr>
            <w:tcW w:w="1583" w:type="dxa"/>
            <w:tcBorders>
              <w:top w:val="nil"/>
              <w:left w:val="nil"/>
              <w:bottom w:val="single" w:sz="8" w:space="0" w:color="auto"/>
              <w:right w:val="single" w:sz="8" w:space="0" w:color="auto"/>
            </w:tcBorders>
            <w:shd w:val="clear" w:color="auto" w:fill="auto"/>
            <w:hideMark/>
          </w:tcPr>
          <w:p w14:paraId="6A043C81" w14:textId="77777777" w:rsidR="002D32FE" w:rsidRPr="002D32FE" w:rsidRDefault="00A00B92" w:rsidP="00A00B92">
            <w:pPr>
              <w:spacing w:after="0" w:line="240" w:lineRule="auto"/>
              <w:rPr>
                <w:rFonts w:ascii="Arial" w:eastAsia="Times New Roman" w:hAnsi="Arial" w:cs="Arial"/>
                <w:color w:val="000000"/>
              </w:rPr>
            </w:pPr>
            <w:r>
              <w:rPr>
                <w:rFonts w:ascii="Arial" w:eastAsia="Times New Roman" w:hAnsi="Arial" w:cs="Arial"/>
                <w:color w:val="000000"/>
              </w:rPr>
              <w:t xml:space="preserve">   AMCST</w:t>
            </w:r>
            <w:r w:rsidR="00552E2D">
              <w:rPr>
                <w:rFonts w:ascii="Arial" w:eastAsia="Times New Roman" w:hAnsi="Arial" w:cs="Arial"/>
                <w:color w:val="000000"/>
              </w:rPr>
              <w:t xml:space="preserve">/ </w:t>
            </w:r>
            <w:proofErr w:type="spellStart"/>
            <w:r w:rsidR="00552E2D">
              <w:rPr>
                <w:rFonts w:ascii="Arial" w:eastAsia="Times New Roman" w:hAnsi="Arial" w:cs="Arial"/>
                <w:color w:val="000000"/>
              </w:rPr>
              <w:t>Comviva</w:t>
            </w:r>
            <w:proofErr w:type="spellEnd"/>
            <w:r w:rsidR="00552E2D">
              <w:rPr>
                <w:rFonts w:ascii="Arial" w:eastAsia="Times New Roman" w:hAnsi="Arial" w:cs="Arial"/>
                <w:color w:val="000000"/>
              </w:rPr>
              <w:t xml:space="preserve"> Ops Team</w:t>
            </w:r>
          </w:p>
        </w:tc>
        <w:tc>
          <w:tcPr>
            <w:tcW w:w="2068" w:type="dxa"/>
            <w:tcBorders>
              <w:top w:val="nil"/>
              <w:left w:val="nil"/>
              <w:bottom w:val="single" w:sz="8" w:space="0" w:color="auto"/>
              <w:right w:val="single" w:sz="8" w:space="0" w:color="auto"/>
            </w:tcBorders>
            <w:shd w:val="clear" w:color="auto" w:fill="auto"/>
            <w:hideMark/>
          </w:tcPr>
          <w:p w14:paraId="3F921813" w14:textId="77777777" w:rsidR="002D32FE" w:rsidRPr="002D32FE" w:rsidRDefault="002D32FE" w:rsidP="0093330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closure artifacts</w:t>
            </w:r>
          </w:p>
        </w:tc>
        <w:tc>
          <w:tcPr>
            <w:tcW w:w="1733" w:type="dxa"/>
            <w:tcBorders>
              <w:top w:val="nil"/>
              <w:left w:val="nil"/>
              <w:bottom w:val="single" w:sz="8" w:space="0" w:color="auto"/>
              <w:right w:val="single" w:sz="8" w:space="0" w:color="auto"/>
            </w:tcBorders>
            <w:shd w:val="clear" w:color="auto" w:fill="auto"/>
            <w:hideMark/>
          </w:tcPr>
          <w:p w14:paraId="62B26A5D"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33C20429" w14:textId="77777777" w:rsidTr="00306DCF">
        <w:trPr>
          <w:trHeight w:val="1440"/>
        </w:trPr>
        <w:tc>
          <w:tcPr>
            <w:tcW w:w="950" w:type="dxa"/>
            <w:tcBorders>
              <w:top w:val="nil"/>
              <w:left w:val="single" w:sz="8" w:space="0" w:color="auto"/>
              <w:bottom w:val="nil"/>
              <w:right w:val="single" w:sz="8" w:space="0" w:color="auto"/>
            </w:tcBorders>
            <w:shd w:val="clear" w:color="auto" w:fill="auto"/>
            <w:hideMark/>
          </w:tcPr>
          <w:p w14:paraId="3F1A909A"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7</w:t>
            </w:r>
          </w:p>
        </w:tc>
        <w:tc>
          <w:tcPr>
            <w:tcW w:w="4246" w:type="dxa"/>
            <w:tcBorders>
              <w:top w:val="single" w:sz="8" w:space="0" w:color="auto"/>
              <w:left w:val="nil"/>
              <w:bottom w:val="single" w:sz="8" w:space="0" w:color="auto"/>
              <w:right w:val="single" w:sz="8" w:space="0" w:color="auto"/>
            </w:tcBorders>
            <w:shd w:val="clear" w:color="auto" w:fill="auto"/>
            <w:hideMark/>
          </w:tcPr>
          <w:p w14:paraId="792A304B"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Tracking of High/Medium</w:t>
            </w:r>
            <w:r w:rsidR="0093330E">
              <w:rPr>
                <w:rFonts w:ascii="Arial" w:eastAsia="Times New Roman" w:hAnsi="Arial" w:cs="Arial"/>
                <w:color w:val="000000"/>
              </w:rPr>
              <w:t>/low</w:t>
            </w:r>
            <w:r w:rsidRPr="002D32FE">
              <w:rPr>
                <w:rFonts w:ascii="Arial" w:eastAsia="Times New Roman" w:hAnsi="Arial" w:cs="Arial"/>
                <w:color w:val="000000"/>
              </w:rPr>
              <w:t xml:space="preserve"> vulnerabilities - AMCST will track all vulnerabilities closed/False Positives/Security Override Risk And will look for Closure of these vulnerabilities</w:t>
            </w:r>
          </w:p>
        </w:tc>
        <w:tc>
          <w:tcPr>
            <w:tcW w:w="1583" w:type="dxa"/>
            <w:tcBorders>
              <w:top w:val="single" w:sz="8" w:space="0" w:color="auto"/>
              <w:left w:val="single" w:sz="8" w:space="0" w:color="auto"/>
              <w:bottom w:val="single" w:sz="8" w:space="0" w:color="auto"/>
              <w:right w:val="single" w:sz="8" w:space="0" w:color="auto"/>
            </w:tcBorders>
            <w:shd w:val="clear" w:color="auto" w:fill="auto"/>
            <w:hideMark/>
          </w:tcPr>
          <w:p w14:paraId="628BB0F8"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r w:rsidR="00552E2D">
              <w:rPr>
                <w:rFonts w:ascii="Arial" w:eastAsia="Times New Roman" w:hAnsi="Arial" w:cs="Arial"/>
                <w:color w:val="000000"/>
              </w:rPr>
              <w:t>/ Security Admin-Airtel</w:t>
            </w:r>
          </w:p>
        </w:tc>
        <w:tc>
          <w:tcPr>
            <w:tcW w:w="2068" w:type="dxa"/>
            <w:tcBorders>
              <w:top w:val="single" w:sz="8" w:space="0" w:color="auto"/>
              <w:left w:val="single" w:sz="8" w:space="0" w:color="auto"/>
              <w:bottom w:val="single" w:sz="8" w:space="0" w:color="auto"/>
              <w:right w:val="single" w:sz="8" w:space="0" w:color="auto"/>
            </w:tcBorders>
            <w:shd w:val="clear" w:color="auto" w:fill="auto"/>
            <w:hideMark/>
          </w:tcPr>
          <w:p w14:paraId="24110086" w14:textId="77777777" w:rsidR="002D32FE" w:rsidRPr="002D32FE" w:rsidRDefault="002D32FE" w:rsidP="0093330E">
            <w:pPr>
              <w:spacing w:after="0" w:line="240" w:lineRule="auto"/>
              <w:rPr>
                <w:rFonts w:ascii="Arial" w:eastAsia="Times New Roman" w:hAnsi="Arial" w:cs="Arial"/>
                <w:color w:val="000000"/>
              </w:rPr>
            </w:pPr>
            <w:r w:rsidRPr="002D32FE">
              <w:rPr>
                <w:rFonts w:ascii="Arial" w:eastAsia="Times New Roman" w:hAnsi="Arial" w:cs="Arial"/>
                <w:color w:val="000000"/>
              </w:rPr>
              <w:t>Gap analysis, checklist. Handling False Positive</w:t>
            </w:r>
          </w:p>
        </w:tc>
        <w:tc>
          <w:tcPr>
            <w:tcW w:w="1733" w:type="dxa"/>
            <w:tcBorders>
              <w:top w:val="single" w:sz="8" w:space="0" w:color="auto"/>
              <w:left w:val="single" w:sz="8" w:space="0" w:color="auto"/>
              <w:bottom w:val="single" w:sz="8" w:space="0" w:color="auto"/>
              <w:right w:val="single" w:sz="8" w:space="0" w:color="auto"/>
            </w:tcBorders>
            <w:shd w:val="clear" w:color="auto" w:fill="auto"/>
            <w:hideMark/>
          </w:tcPr>
          <w:p w14:paraId="3B4DD3C5"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2693A3C5" w14:textId="77777777" w:rsidTr="00306DCF">
        <w:trPr>
          <w:trHeight w:val="1215"/>
        </w:trPr>
        <w:tc>
          <w:tcPr>
            <w:tcW w:w="950" w:type="dxa"/>
            <w:tcBorders>
              <w:top w:val="single" w:sz="8" w:space="0" w:color="auto"/>
              <w:left w:val="single" w:sz="8" w:space="0" w:color="auto"/>
              <w:bottom w:val="nil"/>
              <w:right w:val="single" w:sz="8" w:space="0" w:color="auto"/>
            </w:tcBorders>
            <w:shd w:val="clear" w:color="auto" w:fill="auto"/>
            <w:hideMark/>
          </w:tcPr>
          <w:p w14:paraId="35265955"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8</w:t>
            </w:r>
          </w:p>
        </w:tc>
        <w:tc>
          <w:tcPr>
            <w:tcW w:w="4246" w:type="dxa"/>
            <w:tcBorders>
              <w:top w:val="single" w:sz="8" w:space="0" w:color="auto"/>
              <w:left w:val="nil"/>
              <w:bottom w:val="single" w:sz="8" w:space="0" w:color="auto"/>
              <w:right w:val="single" w:sz="8" w:space="0" w:color="auto"/>
            </w:tcBorders>
            <w:shd w:val="clear" w:color="auto" w:fill="auto"/>
            <w:hideMark/>
          </w:tcPr>
          <w:p w14:paraId="1B3DF3D0"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Rescan for Vulnerabilities closure confirmation , And check for gaps; if found any will track those vulnerabilities for closure</w:t>
            </w:r>
          </w:p>
        </w:tc>
        <w:tc>
          <w:tcPr>
            <w:tcW w:w="1583" w:type="dxa"/>
            <w:tcBorders>
              <w:top w:val="single" w:sz="8" w:space="0" w:color="auto"/>
              <w:left w:val="single" w:sz="8" w:space="0" w:color="auto"/>
              <w:bottom w:val="single" w:sz="8" w:space="0" w:color="auto"/>
              <w:right w:val="single" w:sz="8" w:space="0" w:color="auto"/>
            </w:tcBorders>
            <w:shd w:val="clear" w:color="auto" w:fill="auto"/>
            <w:hideMark/>
          </w:tcPr>
          <w:p w14:paraId="32BF358D"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single" w:sz="8" w:space="0" w:color="auto"/>
              <w:left w:val="single" w:sz="8" w:space="0" w:color="auto"/>
              <w:bottom w:val="single" w:sz="8" w:space="0" w:color="auto"/>
              <w:right w:val="single" w:sz="8" w:space="0" w:color="auto"/>
            </w:tcBorders>
            <w:shd w:val="clear" w:color="auto" w:fill="auto"/>
            <w:hideMark/>
          </w:tcPr>
          <w:p w14:paraId="6C762488"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NIL</w:t>
            </w:r>
          </w:p>
        </w:tc>
        <w:tc>
          <w:tcPr>
            <w:tcW w:w="1733" w:type="dxa"/>
            <w:tcBorders>
              <w:top w:val="single" w:sz="8" w:space="0" w:color="auto"/>
              <w:left w:val="single" w:sz="8" w:space="0" w:color="auto"/>
              <w:bottom w:val="single" w:sz="8" w:space="0" w:color="auto"/>
              <w:right w:val="single" w:sz="8" w:space="0" w:color="auto"/>
            </w:tcBorders>
            <w:shd w:val="clear" w:color="auto" w:fill="auto"/>
            <w:hideMark/>
          </w:tcPr>
          <w:p w14:paraId="0B646C19"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r w:rsidR="002D32FE" w:rsidRPr="002D32FE" w14:paraId="56B22DF8" w14:textId="77777777" w:rsidTr="00306DCF">
        <w:trPr>
          <w:trHeight w:val="615"/>
        </w:trPr>
        <w:tc>
          <w:tcPr>
            <w:tcW w:w="950" w:type="dxa"/>
            <w:tcBorders>
              <w:top w:val="nil"/>
              <w:left w:val="single" w:sz="8" w:space="0" w:color="auto"/>
              <w:bottom w:val="single" w:sz="8" w:space="0" w:color="auto"/>
              <w:right w:val="single" w:sz="8" w:space="0" w:color="auto"/>
            </w:tcBorders>
            <w:shd w:val="clear" w:color="auto" w:fill="auto"/>
            <w:hideMark/>
          </w:tcPr>
          <w:p w14:paraId="08FE883F" w14:textId="77777777" w:rsidR="002D32FE" w:rsidRPr="002D32FE" w:rsidRDefault="002D32FE" w:rsidP="002D32FE">
            <w:pPr>
              <w:spacing w:after="0" w:line="240" w:lineRule="auto"/>
              <w:jc w:val="center"/>
              <w:rPr>
                <w:rFonts w:ascii="Arial" w:eastAsia="Times New Roman" w:hAnsi="Arial" w:cs="Arial"/>
                <w:color w:val="000000"/>
                <w:sz w:val="16"/>
                <w:szCs w:val="16"/>
              </w:rPr>
            </w:pPr>
            <w:r w:rsidRPr="002D32FE">
              <w:rPr>
                <w:rFonts w:ascii="Arial" w:eastAsia="Times New Roman" w:hAnsi="Arial" w:cs="Arial"/>
                <w:color w:val="000000"/>
                <w:sz w:val="16"/>
                <w:szCs w:val="16"/>
              </w:rPr>
              <w:t>9</w:t>
            </w:r>
          </w:p>
        </w:tc>
        <w:tc>
          <w:tcPr>
            <w:tcW w:w="4246" w:type="dxa"/>
            <w:tcBorders>
              <w:top w:val="single" w:sz="8" w:space="0" w:color="auto"/>
              <w:left w:val="nil"/>
              <w:bottom w:val="single" w:sz="8" w:space="0" w:color="auto"/>
              <w:right w:val="single" w:sz="8" w:space="0" w:color="auto"/>
            </w:tcBorders>
            <w:shd w:val="clear" w:color="auto" w:fill="auto"/>
            <w:hideMark/>
          </w:tcPr>
          <w:p w14:paraId="27BD9DE6" w14:textId="77777777" w:rsidR="002D32FE" w:rsidRPr="002D32FE" w:rsidRDefault="002D32FE" w:rsidP="002D32FE">
            <w:pPr>
              <w:spacing w:after="0" w:line="240" w:lineRule="auto"/>
              <w:rPr>
                <w:rFonts w:ascii="Arial" w:eastAsia="Times New Roman" w:hAnsi="Arial" w:cs="Arial"/>
                <w:color w:val="000000"/>
              </w:rPr>
            </w:pPr>
            <w:r w:rsidRPr="002D32FE">
              <w:rPr>
                <w:rFonts w:ascii="Arial" w:eastAsia="Times New Roman" w:hAnsi="Arial" w:cs="Arial"/>
                <w:color w:val="000000"/>
              </w:rPr>
              <w:t>Compile reports VA Dashboard</w:t>
            </w:r>
          </w:p>
        </w:tc>
        <w:tc>
          <w:tcPr>
            <w:tcW w:w="1583" w:type="dxa"/>
            <w:tcBorders>
              <w:top w:val="single" w:sz="8" w:space="0" w:color="auto"/>
              <w:left w:val="single" w:sz="8" w:space="0" w:color="auto"/>
              <w:bottom w:val="single" w:sz="8" w:space="0" w:color="auto"/>
              <w:right w:val="single" w:sz="8" w:space="0" w:color="auto"/>
            </w:tcBorders>
            <w:shd w:val="clear" w:color="auto" w:fill="auto"/>
            <w:hideMark/>
          </w:tcPr>
          <w:p w14:paraId="305F3F32"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AMCST</w:t>
            </w:r>
          </w:p>
        </w:tc>
        <w:tc>
          <w:tcPr>
            <w:tcW w:w="2068" w:type="dxa"/>
            <w:tcBorders>
              <w:top w:val="single" w:sz="8" w:space="0" w:color="auto"/>
              <w:left w:val="single" w:sz="8" w:space="0" w:color="auto"/>
              <w:bottom w:val="single" w:sz="8" w:space="0" w:color="auto"/>
              <w:right w:val="single" w:sz="8" w:space="0" w:color="auto"/>
            </w:tcBorders>
            <w:shd w:val="clear" w:color="auto" w:fill="auto"/>
            <w:hideMark/>
          </w:tcPr>
          <w:p w14:paraId="5108354F"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VA Dashboards</w:t>
            </w:r>
          </w:p>
        </w:tc>
        <w:tc>
          <w:tcPr>
            <w:tcW w:w="1733" w:type="dxa"/>
            <w:tcBorders>
              <w:top w:val="single" w:sz="8" w:space="0" w:color="auto"/>
              <w:left w:val="single" w:sz="8" w:space="0" w:color="auto"/>
              <w:bottom w:val="single" w:sz="8" w:space="0" w:color="auto"/>
              <w:right w:val="single" w:sz="8" w:space="0" w:color="auto"/>
            </w:tcBorders>
            <w:shd w:val="clear" w:color="auto" w:fill="auto"/>
            <w:hideMark/>
          </w:tcPr>
          <w:p w14:paraId="42F1F0DD" w14:textId="77777777" w:rsidR="002D32FE" w:rsidRPr="002D32FE" w:rsidRDefault="002D32FE" w:rsidP="002D32FE">
            <w:pPr>
              <w:spacing w:after="0" w:line="240" w:lineRule="auto"/>
              <w:ind w:firstLineChars="100" w:firstLine="220"/>
              <w:rPr>
                <w:rFonts w:ascii="Arial" w:eastAsia="Times New Roman" w:hAnsi="Arial" w:cs="Arial"/>
                <w:color w:val="000000"/>
              </w:rPr>
            </w:pPr>
            <w:r w:rsidRPr="002D32FE">
              <w:rPr>
                <w:rFonts w:ascii="Arial" w:eastAsia="Times New Roman" w:hAnsi="Arial" w:cs="Arial"/>
                <w:color w:val="000000"/>
              </w:rPr>
              <w:t> </w:t>
            </w:r>
          </w:p>
        </w:tc>
      </w:tr>
    </w:tbl>
    <w:p w14:paraId="0C9A5B36" w14:textId="77777777" w:rsidR="002D32FE" w:rsidRDefault="002D32FE" w:rsidP="00EE6401">
      <w:pPr>
        <w:ind w:left="720"/>
        <w:rPr>
          <w:rStyle w:val="MahindraSubheadingChar"/>
          <w:rFonts w:ascii="Arial" w:hAnsi="Arial" w:cs="Arial"/>
        </w:rPr>
      </w:pPr>
    </w:p>
    <w:p w14:paraId="18A9F179" w14:textId="77777777" w:rsidR="00D95927" w:rsidRPr="002D2D8C" w:rsidRDefault="00FA645C" w:rsidP="00DD4932">
      <w:pPr>
        <w:tabs>
          <w:tab w:val="left" w:pos="8673"/>
        </w:tabs>
        <w:rPr>
          <w:rFonts w:ascii="Arial" w:hAnsi="Arial" w:cs="Arial"/>
        </w:rPr>
      </w:pPr>
      <w:r w:rsidRPr="00873C68">
        <w:rPr>
          <w:rFonts w:ascii="Arial" w:hAnsi="Arial" w:cs="Arial"/>
        </w:rPr>
        <w:t xml:space="preserve"> </w:t>
      </w:r>
      <w:r w:rsidR="00DD4932">
        <w:rPr>
          <w:rFonts w:ascii="Arial" w:hAnsi="Arial" w:cs="Arial"/>
        </w:rPr>
        <w:tab/>
      </w:r>
    </w:p>
    <w:p w14:paraId="4AA1740A" w14:textId="77777777" w:rsidR="00910C69" w:rsidRDefault="00910C69" w:rsidP="00910C69">
      <w:pPr>
        <w:ind w:left="720"/>
        <w:rPr>
          <w:rStyle w:val="MahindraSubheadingChar"/>
          <w:rFonts w:ascii="Arial" w:hAnsi="Arial" w:cs="Arial"/>
          <w:sz w:val="36"/>
          <w:szCs w:val="36"/>
        </w:rPr>
      </w:pPr>
      <w:r>
        <w:rPr>
          <w:rStyle w:val="MahindraSubheadingChar"/>
          <w:rFonts w:ascii="Arial" w:hAnsi="Arial" w:cs="Arial"/>
          <w:sz w:val="36"/>
          <w:szCs w:val="36"/>
        </w:rPr>
        <w:t>5.0</w:t>
      </w:r>
      <w:r>
        <w:rPr>
          <w:rStyle w:val="MahindraSubheadingChar"/>
          <w:rFonts w:ascii="Arial" w:hAnsi="Arial" w:cs="Arial"/>
          <w:sz w:val="36"/>
          <w:szCs w:val="36"/>
        </w:rPr>
        <w:tab/>
      </w:r>
      <w:r w:rsidR="001936A3">
        <w:rPr>
          <w:rStyle w:val="MahindraSubheadingChar"/>
          <w:rFonts w:ascii="Arial" w:hAnsi="Arial" w:cs="Arial"/>
          <w:sz w:val="36"/>
          <w:szCs w:val="36"/>
        </w:rPr>
        <w:tab/>
      </w:r>
      <w:r w:rsidRPr="00053316">
        <w:rPr>
          <w:rStyle w:val="MahindraSubheadingChar"/>
          <w:rFonts w:ascii="Arial" w:hAnsi="Arial" w:cs="Arial"/>
          <w:sz w:val="36"/>
          <w:szCs w:val="36"/>
        </w:rPr>
        <w:t>Roles and Responsibilities</w:t>
      </w:r>
      <w:r w:rsidRPr="00053316">
        <w:rPr>
          <w:rStyle w:val="MahindraSubheadingChar"/>
          <w:rFonts w:ascii="Arial" w:hAnsi="Arial" w:cs="Arial"/>
          <w:sz w:val="36"/>
          <w:szCs w:val="36"/>
        </w:rPr>
        <w:tab/>
      </w:r>
    </w:p>
    <w:tbl>
      <w:tblPr>
        <w:tblW w:w="7600" w:type="dxa"/>
        <w:tblInd w:w="91" w:type="dxa"/>
        <w:tblLook w:val="04A0" w:firstRow="1" w:lastRow="0" w:firstColumn="1" w:lastColumn="0" w:noHBand="0" w:noVBand="1"/>
      </w:tblPr>
      <w:tblGrid>
        <w:gridCol w:w="1440"/>
        <w:gridCol w:w="6160"/>
      </w:tblGrid>
      <w:tr w:rsidR="006F5876" w:rsidRPr="006F5876" w14:paraId="3CC57F6B" w14:textId="77777777" w:rsidTr="006F5876">
        <w:trPr>
          <w:trHeight w:val="300"/>
        </w:trPr>
        <w:tc>
          <w:tcPr>
            <w:tcW w:w="1440" w:type="dxa"/>
            <w:tcBorders>
              <w:top w:val="single" w:sz="8" w:space="0" w:color="auto"/>
              <w:left w:val="single" w:sz="8" w:space="0" w:color="auto"/>
              <w:bottom w:val="nil"/>
              <w:right w:val="nil"/>
            </w:tcBorders>
            <w:shd w:val="clear" w:color="000000" w:fill="C00000"/>
            <w:hideMark/>
          </w:tcPr>
          <w:p w14:paraId="2EED8F9B" w14:textId="77777777" w:rsidR="006F5876" w:rsidRPr="006F5876" w:rsidRDefault="006F5876" w:rsidP="006F5876">
            <w:pPr>
              <w:spacing w:after="0" w:line="240" w:lineRule="auto"/>
              <w:jc w:val="center"/>
              <w:rPr>
                <w:rFonts w:ascii="Arial" w:eastAsia="Times New Roman" w:hAnsi="Arial" w:cs="Arial"/>
                <w:b/>
                <w:bCs/>
                <w:color w:val="FFFFFF"/>
              </w:rPr>
            </w:pPr>
            <w:r w:rsidRPr="006F5876">
              <w:rPr>
                <w:rFonts w:ascii="Arial" w:eastAsia="Times New Roman" w:hAnsi="Arial" w:cs="Arial"/>
                <w:b/>
                <w:bCs/>
                <w:color w:val="FFFFFF"/>
              </w:rPr>
              <w:t>Role</w:t>
            </w:r>
          </w:p>
        </w:tc>
        <w:tc>
          <w:tcPr>
            <w:tcW w:w="6160" w:type="dxa"/>
            <w:tcBorders>
              <w:top w:val="single" w:sz="4" w:space="0" w:color="auto"/>
              <w:left w:val="single" w:sz="4" w:space="0" w:color="auto"/>
              <w:bottom w:val="nil"/>
              <w:right w:val="single" w:sz="4" w:space="0" w:color="auto"/>
            </w:tcBorders>
            <w:shd w:val="clear" w:color="000000" w:fill="C00000"/>
            <w:vAlign w:val="bottom"/>
            <w:hideMark/>
          </w:tcPr>
          <w:p w14:paraId="6AAAFD54" w14:textId="77777777" w:rsidR="006F5876" w:rsidRPr="006F5876" w:rsidRDefault="006F5876" w:rsidP="006F5876">
            <w:pPr>
              <w:spacing w:after="0" w:line="240" w:lineRule="auto"/>
              <w:jc w:val="center"/>
              <w:rPr>
                <w:rFonts w:ascii="Arial" w:eastAsia="Times New Roman" w:hAnsi="Arial" w:cs="Arial"/>
                <w:b/>
                <w:bCs/>
                <w:color w:val="FFFFFF"/>
              </w:rPr>
            </w:pPr>
            <w:r w:rsidRPr="006F5876">
              <w:rPr>
                <w:rFonts w:ascii="Arial" w:eastAsia="Times New Roman" w:hAnsi="Arial" w:cs="Arial"/>
                <w:b/>
                <w:bCs/>
                <w:color w:val="FFFFFF"/>
              </w:rPr>
              <w:t>Responsibility</w:t>
            </w:r>
          </w:p>
        </w:tc>
      </w:tr>
      <w:tr w:rsidR="006F5876" w:rsidRPr="006F5876" w14:paraId="29473976" w14:textId="77777777" w:rsidTr="006F5876">
        <w:trPr>
          <w:trHeight w:val="300"/>
        </w:trPr>
        <w:tc>
          <w:tcPr>
            <w:tcW w:w="1440" w:type="dxa"/>
            <w:vMerge w:val="restart"/>
            <w:tcBorders>
              <w:top w:val="single" w:sz="4" w:space="0" w:color="auto"/>
              <w:left w:val="single" w:sz="4" w:space="0" w:color="auto"/>
              <w:bottom w:val="single" w:sz="4" w:space="0" w:color="000000"/>
              <w:right w:val="nil"/>
            </w:tcBorders>
            <w:shd w:val="clear" w:color="auto" w:fill="auto"/>
            <w:vAlign w:val="center"/>
            <w:hideMark/>
          </w:tcPr>
          <w:p w14:paraId="7FB60808" w14:textId="77777777" w:rsidR="006F5876" w:rsidRPr="006F5876" w:rsidRDefault="006F5876" w:rsidP="006F5876">
            <w:pPr>
              <w:spacing w:after="0" w:line="240" w:lineRule="auto"/>
              <w:jc w:val="center"/>
              <w:rPr>
                <w:rFonts w:ascii="Arial" w:eastAsia="Times New Roman" w:hAnsi="Arial" w:cs="Arial"/>
                <w:color w:val="000000"/>
              </w:rPr>
            </w:pPr>
            <w:r w:rsidRPr="006F5876">
              <w:rPr>
                <w:rFonts w:ascii="Arial" w:eastAsia="Times New Roman" w:hAnsi="Arial" w:cs="Arial"/>
                <w:color w:val="000000"/>
              </w:rPr>
              <w:t xml:space="preserve">AMCST/   </w:t>
            </w:r>
            <w:proofErr w:type="spellStart"/>
            <w:r w:rsidRPr="006F5876">
              <w:rPr>
                <w:rFonts w:ascii="Arial" w:eastAsia="Times New Roman" w:hAnsi="Arial" w:cs="Arial"/>
                <w:color w:val="000000"/>
              </w:rPr>
              <w:t>Comviva</w:t>
            </w:r>
            <w:proofErr w:type="spellEnd"/>
            <w:r w:rsidRPr="006F5876">
              <w:rPr>
                <w:rFonts w:ascii="Arial" w:eastAsia="Times New Roman" w:hAnsi="Arial" w:cs="Arial"/>
                <w:color w:val="000000"/>
              </w:rPr>
              <w:t xml:space="preserve"> Operations Team</w:t>
            </w:r>
          </w:p>
        </w:tc>
        <w:tc>
          <w:tcPr>
            <w:tcW w:w="6160" w:type="dxa"/>
            <w:tcBorders>
              <w:top w:val="nil"/>
              <w:left w:val="single" w:sz="4" w:space="0" w:color="auto"/>
              <w:bottom w:val="nil"/>
              <w:right w:val="single" w:sz="4" w:space="0" w:color="auto"/>
            </w:tcBorders>
            <w:shd w:val="clear" w:color="auto" w:fill="auto"/>
            <w:hideMark/>
          </w:tcPr>
          <w:p w14:paraId="055F04C9" w14:textId="77777777" w:rsidR="006F5876" w:rsidRPr="006F5876" w:rsidRDefault="006F5876" w:rsidP="006F5876">
            <w:pPr>
              <w:spacing w:after="0" w:line="240" w:lineRule="auto"/>
              <w:rPr>
                <w:rFonts w:ascii="Arial" w:eastAsia="Times New Roman" w:hAnsi="Arial" w:cs="Arial"/>
                <w:color w:val="000000"/>
              </w:rPr>
            </w:pPr>
            <w:r w:rsidRPr="006F5876">
              <w:rPr>
                <w:rFonts w:ascii="Arial" w:eastAsia="Times New Roman" w:hAnsi="Arial" w:cs="Arial"/>
                <w:color w:val="000000"/>
              </w:rPr>
              <w:t>Responsibilities include:</w:t>
            </w:r>
          </w:p>
        </w:tc>
      </w:tr>
      <w:tr w:rsidR="006F5876" w:rsidRPr="006F5876" w14:paraId="247350CD"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2C741E50"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7DBBB09C"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Maintaining VA and System Index measurements for reporting and forecasting.</w:t>
            </w:r>
          </w:p>
        </w:tc>
      </w:tr>
      <w:tr w:rsidR="006F5876" w:rsidRPr="006F5876" w14:paraId="257D53B5" w14:textId="77777777" w:rsidTr="006F5876">
        <w:trPr>
          <w:trHeight w:val="375"/>
        </w:trPr>
        <w:tc>
          <w:tcPr>
            <w:tcW w:w="1440" w:type="dxa"/>
            <w:vMerge/>
            <w:tcBorders>
              <w:top w:val="single" w:sz="4" w:space="0" w:color="auto"/>
              <w:left w:val="single" w:sz="4" w:space="0" w:color="auto"/>
              <w:bottom w:val="single" w:sz="4" w:space="0" w:color="000000"/>
              <w:right w:val="nil"/>
            </w:tcBorders>
            <w:vAlign w:val="center"/>
            <w:hideMark/>
          </w:tcPr>
          <w:p w14:paraId="76EF9353"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5FF3C299"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Analyze trends, service level commitments and thresholds.</w:t>
            </w:r>
          </w:p>
        </w:tc>
      </w:tr>
      <w:tr w:rsidR="006F5876" w:rsidRPr="006F5876" w14:paraId="0D7C5430"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5400FE5A"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452A93FE"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Establish thresholds and exception (alerts) reporting procedures</w:t>
            </w:r>
          </w:p>
        </w:tc>
      </w:tr>
      <w:tr w:rsidR="006F5876" w:rsidRPr="006F5876" w14:paraId="771951A0"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75B671E7"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733C9B28"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Implement approved VA and SI changes according to requirement.</w:t>
            </w:r>
          </w:p>
        </w:tc>
      </w:tr>
      <w:tr w:rsidR="006F5876" w:rsidRPr="006F5876" w14:paraId="6A243493"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215D7052"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18AAC3BF"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Provide technical support and advise to address VA issues.</w:t>
            </w:r>
          </w:p>
        </w:tc>
      </w:tr>
      <w:tr w:rsidR="006F5876" w:rsidRPr="006F5876" w14:paraId="5E5E81E9"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0A01E278"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0559BAC3"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 xml:space="preserve">Advise the Process analyst of any required system configuration or modifications to meet VA and SI targets  </w:t>
            </w:r>
          </w:p>
        </w:tc>
      </w:tr>
      <w:tr w:rsidR="006F5876" w:rsidRPr="006F5876" w14:paraId="07C704EB" w14:textId="77777777" w:rsidTr="006F5876">
        <w:trPr>
          <w:trHeight w:val="300"/>
        </w:trPr>
        <w:tc>
          <w:tcPr>
            <w:tcW w:w="1440" w:type="dxa"/>
            <w:vMerge/>
            <w:tcBorders>
              <w:top w:val="single" w:sz="4" w:space="0" w:color="auto"/>
              <w:left w:val="single" w:sz="4" w:space="0" w:color="auto"/>
              <w:bottom w:val="single" w:sz="4" w:space="0" w:color="000000"/>
              <w:right w:val="nil"/>
            </w:tcBorders>
            <w:vAlign w:val="center"/>
            <w:hideMark/>
          </w:tcPr>
          <w:p w14:paraId="6AAAB4E3"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31EA6239"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Publish VA schedule</w:t>
            </w:r>
          </w:p>
        </w:tc>
      </w:tr>
      <w:tr w:rsidR="006F5876" w:rsidRPr="006F5876" w14:paraId="69A835B8" w14:textId="77777777" w:rsidTr="006F5876">
        <w:trPr>
          <w:trHeight w:val="300"/>
        </w:trPr>
        <w:tc>
          <w:tcPr>
            <w:tcW w:w="1440" w:type="dxa"/>
            <w:vMerge/>
            <w:tcBorders>
              <w:top w:val="single" w:sz="4" w:space="0" w:color="auto"/>
              <w:left w:val="single" w:sz="4" w:space="0" w:color="auto"/>
              <w:bottom w:val="single" w:sz="4" w:space="0" w:color="000000"/>
              <w:right w:val="nil"/>
            </w:tcBorders>
            <w:vAlign w:val="center"/>
            <w:hideMark/>
          </w:tcPr>
          <w:p w14:paraId="79146789"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1ED4ED81"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Ensure the closure of high and medium vulnerabilities.</w:t>
            </w:r>
          </w:p>
        </w:tc>
      </w:tr>
      <w:tr w:rsidR="006F5876" w:rsidRPr="006F5876" w14:paraId="504C1187" w14:textId="77777777" w:rsidTr="006F5876">
        <w:trPr>
          <w:trHeight w:val="300"/>
        </w:trPr>
        <w:tc>
          <w:tcPr>
            <w:tcW w:w="1440" w:type="dxa"/>
            <w:vMerge/>
            <w:tcBorders>
              <w:top w:val="single" w:sz="4" w:space="0" w:color="auto"/>
              <w:left w:val="single" w:sz="4" w:space="0" w:color="auto"/>
              <w:bottom w:val="single" w:sz="4" w:space="0" w:color="000000"/>
              <w:right w:val="nil"/>
            </w:tcBorders>
            <w:vAlign w:val="center"/>
            <w:hideMark/>
          </w:tcPr>
          <w:p w14:paraId="7521B519"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292D7772"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Circulate notifications and schedule scan</w:t>
            </w:r>
          </w:p>
        </w:tc>
      </w:tr>
      <w:tr w:rsidR="006F5876" w:rsidRPr="006F5876" w14:paraId="07E073F6"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11493BF7"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418E36FE"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 xml:space="preserve">Run VA scan as per schedule. Rescan for missed IP </w:t>
            </w:r>
            <w:proofErr w:type="gramStart"/>
            <w:r w:rsidRPr="006F5876">
              <w:rPr>
                <w:rFonts w:ascii="Arial" w:eastAsia="Symbol" w:hAnsi="Arial" w:cs="Arial"/>
                <w:color w:val="000000"/>
              </w:rPr>
              <w:t>and  vulnerability</w:t>
            </w:r>
            <w:proofErr w:type="gramEnd"/>
            <w:r w:rsidRPr="006F5876">
              <w:rPr>
                <w:rFonts w:ascii="Arial" w:eastAsia="Symbol" w:hAnsi="Arial" w:cs="Arial"/>
                <w:color w:val="000000"/>
              </w:rPr>
              <w:t xml:space="preserve"> closure confirmation.</w:t>
            </w:r>
          </w:p>
        </w:tc>
      </w:tr>
      <w:tr w:rsidR="006F5876" w:rsidRPr="006F5876" w14:paraId="7C9D459E"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48CD54FF"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0842900F"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Calculate various security indices, such as VA Factor, System Index</w:t>
            </w:r>
          </w:p>
        </w:tc>
      </w:tr>
      <w:tr w:rsidR="006F5876" w:rsidRPr="006F5876" w14:paraId="5DA0B945"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3884CB1D"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5970F62B"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Compile Reports and share with stakeholders on the vulnerabilities and their potential solution options.</w:t>
            </w:r>
          </w:p>
        </w:tc>
      </w:tr>
      <w:tr w:rsidR="006F5876" w:rsidRPr="006F5876" w14:paraId="1ADCD5B1" w14:textId="77777777" w:rsidTr="006F5876">
        <w:trPr>
          <w:trHeight w:val="300"/>
        </w:trPr>
        <w:tc>
          <w:tcPr>
            <w:tcW w:w="1440" w:type="dxa"/>
            <w:vMerge/>
            <w:tcBorders>
              <w:top w:val="single" w:sz="4" w:space="0" w:color="auto"/>
              <w:left w:val="single" w:sz="4" w:space="0" w:color="auto"/>
              <w:bottom w:val="single" w:sz="4" w:space="0" w:color="000000"/>
              <w:right w:val="nil"/>
            </w:tcBorders>
            <w:vAlign w:val="center"/>
            <w:hideMark/>
          </w:tcPr>
          <w:p w14:paraId="79F06A40"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1728FF74"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 xml:space="preserve">Declare false positives. </w:t>
            </w:r>
          </w:p>
        </w:tc>
      </w:tr>
      <w:tr w:rsidR="006F5876" w:rsidRPr="006F5876" w14:paraId="5E9BD55C" w14:textId="77777777" w:rsidTr="006F5876">
        <w:trPr>
          <w:trHeight w:val="300"/>
        </w:trPr>
        <w:tc>
          <w:tcPr>
            <w:tcW w:w="1440" w:type="dxa"/>
            <w:vMerge/>
            <w:tcBorders>
              <w:top w:val="single" w:sz="4" w:space="0" w:color="auto"/>
              <w:left w:val="single" w:sz="4" w:space="0" w:color="auto"/>
              <w:bottom w:val="single" w:sz="4" w:space="0" w:color="000000"/>
              <w:right w:val="nil"/>
            </w:tcBorders>
            <w:vAlign w:val="center"/>
            <w:hideMark/>
          </w:tcPr>
          <w:p w14:paraId="24FEA4E5"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5808A481"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Analyzes the reports for vulnerability closure</w:t>
            </w:r>
          </w:p>
        </w:tc>
      </w:tr>
      <w:tr w:rsidR="006F5876" w:rsidRPr="006F5876" w14:paraId="7EEAAB9A" w14:textId="77777777" w:rsidTr="006F5876">
        <w:trPr>
          <w:trHeight w:val="585"/>
        </w:trPr>
        <w:tc>
          <w:tcPr>
            <w:tcW w:w="1440" w:type="dxa"/>
            <w:vMerge/>
            <w:tcBorders>
              <w:top w:val="single" w:sz="4" w:space="0" w:color="auto"/>
              <w:left w:val="single" w:sz="4" w:space="0" w:color="auto"/>
              <w:bottom w:val="single" w:sz="4" w:space="0" w:color="000000"/>
              <w:right w:val="nil"/>
            </w:tcBorders>
            <w:vAlign w:val="center"/>
            <w:hideMark/>
          </w:tcPr>
          <w:p w14:paraId="1B5504DD"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nil"/>
              <w:right w:val="single" w:sz="4" w:space="0" w:color="auto"/>
            </w:tcBorders>
            <w:shd w:val="clear" w:color="auto" w:fill="auto"/>
            <w:hideMark/>
          </w:tcPr>
          <w:p w14:paraId="27A84EFB" w14:textId="77777777" w:rsidR="006F5876" w:rsidRPr="006F5876" w:rsidRDefault="006F5876" w:rsidP="006F5876">
            <w:pPr>
              <w:spacing w:after="0" w:line="240" w:lineRule="auto"/>
              <w:rPr>
                <w:rFonts w:ascii="Symbol" w:eastAsia="Times New Roman" w:hAnsi="Symbol"/>
                <w:color w:val="000000"/>
              </w:rPr>
            </w:pPr>
            <w:r w:rsidRPr="006F5876">
              <w:rPr>
                <w:rFonts w:ascii="Symbol" w:eastAsia="Symbol" w:hAnsi="Symbol" w:cs="Symbol"/>
                <w:color w:val="000000"/>
              </w:rPr>
              <w:t></w:t>
            </w:r>
            <w:r w:rsidRPr="006F5876">
              <w:rPr>
                <w:rFonts w:ascii="Times New Roman" w:eastAsia="Symbol" w:hAnsi="Times New Roman"/>
                <w:color w:val="000000"/>
                <w:sz w:val="14"/>
                <w:szCs w:val="14"/>
              </w:rPr>
              <w:t xml:space="preserve">         </w:t>
            </w:r>
            <w:r w:rsidRPr="006F5876">
              <w:rPr>
                <w:rFonts w:ascii="Arial" w:eastAsia="Symbol" w:hAnsi="Arial" w:cs="Arial"/>
                <w:color w:val="000000"/>
              </w:rPr>
              <w:t>Work on the implementation of the solutions for vulnerabilities closure.</w:t>
            </w:r>
          </w:p>
        </w:tc>
      </w:tr>
      <w:tr w:rsidR="006F5876" w:rsidRPr="006F5876" w14:paraId="45EE3249" w14:textId="77777777" w:rsidTr="006F5876">
        <w:trPr>
          <w:trHeight w:val="570"/>
        </w:trPr>
        <w:tc>
          <w:tcPr>
            <w:tcW w:w="1440" w:type="dxa"/>
            <w:vMerge/>
            <w:tcBorders>
              <w:top w:val="single" w:sz="4" w:space="0" w:color="auto"/>
              <w:left w:val="single" w:sz="4" w:space="0" w:color="auto"/>
              <w:bottom w:val="single" w:sz="4" w:space="0" w:color="000000"/>
              <w:right w:val="nil"/>
            </w:tcBorders>
            <w:vAlign w:val="center"/>
            <w:hideMark/>
          </w:tcPr>
          <w:p w14:paraId="0BC62A89" w14:textId="77777777" w:rsidR="006F5876" w:rsidRPr="006F5876" w:rsidRDefault="006F5876" w:rsidP="006F5876">
            <w:pPr>
              <w:spacing w:after="0" w:line="240" w:lineRule="auto"/>
              <w:rPr>
                <w:rFonts w:ascii="Arial" w:eastAsia="Times New Roman" w:hAnsi="Arial" w:cs="Arial"/>
                <w:color w:val="000000"/>
              </w:rPr>
            </w:pPr>
          </w:p>
        </w:tc>
        <w:tc>
          <w:tcPr>
            <w:tcW w:w="6160" w:type="dxa"/>
            <w:tcBorders>
              <w:top w:val="nil"/>
              <w:left w:val="single" w:sz="4" w:space="0" w:color="auto"/>
              <w:bottom w:val="single" w:sz="4" w:space="0" w:color="auto"/>
              <w:right w:val="single" w:sz="4" w:space="0" w:color="auto"/>
            </w:tcBorders>
            <w:shd w:val="clear" w:color="auto" w:fill="auto"/>
            <w:hideMark/>
          </w:tcPr>
          <w:p w14:paraId="4C5A7959" w14:textId="77777777" w:rsidR="006F5876" w:rsidRPr="006F5876" w:rsidRDefault="006F5876" w:rsidP="006F5876">
            <w:pPr>
              <w:spacing w:after="0" w:line="240" w:lineRule="auto"/>
              <w:rPr>
                <w:rFonts w:ascii="Arial" w:eastAsia="Times New Roman" w:hAnsi="Arial" w:cs="Arial"/>
                <w:color w:val="000000"/>
              </w:rPr>
            </w:pPr>
            <w:proofErr w:type="gramStart"/>
            <w:r w:rsidRPr="006F5876">
              <w:rPr>
                <w:rFonts w:ascii="Arial" w:eastAsia="Times New Roman" w:hAnsi="Arial" w:cs="Arial"/>
                <w:color w:val="000000"/>
              </w:rPr>
              <w:t>·  Security</w:t>
            </w:r>
            <w:proofErr w:type="gramEnd"/>
            <w:r w:rsidRPr="006F5876">
              <w:rPr>
                <w:rFonts w:ascii="Arial" w:eastAsia="Times New Roman" w:hAnsi="Arial" w:cs="Arial"/>
                <w:color w:val="000000"/>
              </w:rPr>
              <w:t xml:space="preserve"> Over-Ride D</w:t>
            </w:r>
            <w:r w:rsidR="00D9550A">
              <w:rPr>
                <w:rFonts w:ascii="Arial" w:eastAsia="Times New Roman" w:hAnsi="Arial" w:cs="Arial"/>
                <w:color w:val="000000"/>
              </w:rPr>
              <w:t>ocument to be prepared for vulne</w:t>
            </w:r>
            <w:r w:rsidRPr="006F5876">
              <w:rPr>
                <w:rFonts w:ascii="Arial" w:eastAsia="Times New Roman" w:hAnsi="Arial" w:cs="Arial"/>
                <w:color w:val="000000"/>
              </w:rPr>
              <w:t>rabilities that couldn't be closed.</w:t>
            </w:r>
          </w:p>
        </w:tc>
      </w:tr>
    </w:tbl>
    <w:p w14:paraId="5E0BE406" w14:textId="77777777" w:rsidR="004D1309" w:rsidRDefault="004D1309" w:rsidP="00910C69">
      <w:pPr>
        <w:ind w:left="720"/>
        <w:rPr>
          <w:rStyle w:val="MahindraSubheadingChar"/>
          <w:rFonts w:ascii="Arial" w:hAnsi="Arial" w:cs="Arial"/>
          <w:sz w:val="36"/>
          <w:szCs w:val="36"/>
        </w:rPr>
      </w:pPr>
    </w:p>
    <w:p w14:paraId="09379B4A" w14:textId="77777777" w:rsidR="00831419" w:rsidRDefault="00831419" w:rsidP="00E43BF9">
      <w:pPr>
        <w:pStyle w:val="MahindraHeading"/>
        <w:numPr>
          <w:ilvl w:val="0"/>
          <w:numId w:val="8"/>
        </w:numPr>
        <w:rPr>
          <w:rStyle w:val="MahindraSubheadingChar"/>
          <w:rFonts w:ascii="Arial" w:hAnsi="Arial" w:cs="Arial"/>
          <w:b/>
          <w:sz w:val="36"/>
          <w:szCs w:val="36"/>
        </w:rPr>
      </w:pPr>
      <w:bookmarkStart w:id="2" w:name="_Toc349560308"/>
      <w:bookmarkStart w:id="3" w:name="_Toc349563918"/>
      <w:r>
        <w:rPr>
          <w:rFonts w:ascii="Arial" w:eastAsia="Calibri" w:hAnsi="Arial" w:cs="Arial"/>
          <w:sz w:val="36"/>
          <w:szCs w:val="36"/>
        </w:rPr>
        <w:t>Vulnerability A</w:t>
      </w:r>
      <w:r w:rsidRPr="00831419">
        <w:rPr>
          <w:rFonts w:ascii="Arial" w:eastAsia="Calibri" w:hAnsi="Arial" w:cs="Arial"/>
          <w:sz w:val="36"/>
          <w:szCs w:val="36"/>
        </w:rPr>
        <w:t xml:space="preserve">ssessment </w:t>
      </w:r>
      <w:r w:rsidR="00A353E5">
        <w:rPr>
          <w:rStyle w:val="MahindraSubheadingChar"/>
          <w:rFonts w:ascii="Arial" w:hAnsi="Arial" w:cs="Arial"/>
          <w:b/>
          <w:sz w:val="36"/>
          <w:szCs w:val="36"/>
        </w:rPr>
        <w:t>Reports</w:t>
      </w:r>
      <w:bookmarkEnd w:id="2"/>
      <w:bookmarkEnd w:id="3"/>
    </w:p>
    <w:p w14:paraId="354D28F2" w14:textId="77777777" w:rsidR="00831419" w:rsidRPr="00831419" w:rsidRDefault="00831419" w:rsidP="00831419">
      <w:pPr>
        <w:pStyle w:val="MahindraHeading"/>
        <w:ind w:left="1080"/>
        <w:rPr>
          <w:rFonts w:ascii="Arial" w:eastAsia="Calibri" w:hAnsi="Arial" w:cs="Arial"/>
          <w:sz w:val="36"/>
          <w:szCs w:val="36"/>
        </w:rPr>
      </w:pPr>
    </w:p>
    <w:p w14:paraId="6C289531" w14:textId="77777777" w:rsidR="00831419" w:rsidRPr="00831419" w:rsidRDefault="00831419" w:rsidP="00E43BF9">
      <w:pPr>
        <w:pStyle w:val="ListParagraph"/>
        <w:numPr>
          <w:ilvl w:val="0"/>
          <w:numId w:val="9"/>
        </w:numPr>
        <w:rPr>
          <w:rFonts w:ascii="Arial" w:hAnsi="Arial" w:cs="Arial"/>
          <w:lang w:val="en-AU"/>
        </w:rPr>
      </w:pPr>
      <w:r w:rsidRPr="00831419">
        <w:rPr>
          <w:rFonts w:ascii="Arial" w:hAnsi="Arial" w:cs="Arial"/>
          <w:lang w:val="en-AU"/>
        </w:rPr>
        <w:t>Vulnerability Assessment</w:t>
      </w:r>
      <w:r>
        <w:rPr>
          <w:rFonts w:ascii="Arial" w:hAnsi="Arial" w:cs="Arial"/>
          <w:lang w:val="en-AU"/>
        </w:rPr>
        <w:t xml:space="preserve"> </w:t>
      </w:r>
      <w:r w:rsidR="001F0B6A">
        <w:rPr>
          <w:rFonts w:ascii="Arial" w:hAnsi="Arial" w:cs="Arial"/>
          <w:lang w:val="en-AU"/>
        </w:rPr>
        <w:t>Scan</w:t>
      </w:r>
      <w:r>
        <w:rPr>
          <w:rFonts w:ascii="Arial" w:hAnsi="Arial" w:cs="Arial"/>
          <w:lang w:val="en-AU"/>
        </w:rPr>
        <w:t xml:space="preserve"> report</w:t>
      </w:r>
      <w:r w:rsidR="00951262">
        <w:rPr>
          <w:rFonts w:ascii="Arial" w:hAnsi="Arial" w:cs="Arial"/>
          <w:lang w:val="en-AU"/>
        </w:rPr>
        <w:t xml:space="preserve"> from Nessus scanning Tool</w:t>
      </w:r>
      <w:r w:rsidRPr="00831419">
        <w:rPr>
          <w:rFonts w:ascii="Arial" w:hAnsi="Arial" w:cs="Arial"/>
          <w:lang w:val="en-AU"/>
        </w:rPr>
        <w:tab/>
      </w:r>
    </w:p>
    <w:p w14:paraId="6BF06B5D" w14:textId="77777777" w:rsidR="00831419" w:rsidRDefault="001F0B6A" w:rsidP="00E43BF9">
      <w:pPr>
        <w:pStyle w:val="ListParagraph"/>
        <w:numPr>
          <w:ilvl w:val="0"/>
          <w:numId w:val="9"/>
        </w:numPr>
        <w:rPr>
          <w:rFonts w:ascii="Arial" w:hAnsi="Arial" w:cs="Arial"/>
          <w:lang w:val="en-AU"/>
        </w:rPr>
      </w:pPr>
      <w:r>
        <w:rPr>
          <w:rFonts w:ascii="Arial" w:hAnsi="Arial" w:cs="Arial"/>
          <w:lang w:val="en-AU"/>
        </w:rPr>
        <w:t>VA Dashboard</w:t>
      </w:r>
    </w:p>
    <w:p w14:paraId="0153C4A7" w14:textId="77777777" w:rsidR="00951262" w:rsidRDefault="00951262" w:rsidP="00951262">
      <w:pPr>
        <w:pStyle w:val="ListParagraph"/>
        <w:ind w:left="2160"/>
        <w:rPr>
          <w:rFonts w:ascii="Arial" w:hAnsi="Arial" w:cs="Arial"/>
          <w:lang w:val="en-AU"/>
        </w:rPr>
      </w:pPr>
    </w:p>
    <w:p w14:paraId="05ABE382" w14:textId="77777777" w:rsidR="00951262" w:rsidRPr="00831419" w:rsidRDefault="00951262" w:rsidP="00951262">
      <w:pPr>
        <w:pStyle w:val="ListParagraph"/>
        <w:ind w:left="2160"/>
        <w:rPr>
          <w:rFonts w:ascii="Arial" w:hAnsi="Arial" w:cs="Arial"/>
          <w:lang w:val="en-AU"/>
        </w:rPr>
      </w:pPr>
      <w:r w:rsidRPr="00013FAD">
        <w:rPr>
          <w:rFonts w:ascii="Arial" w:hAnsi="Arial" w:cs="Arial"/>
          <w:lang w:val="en-AU"/>
        </w:rPr>
        <w:object w:dxaOrig="1531" w:dyaOrig="1004" w14:anchorId="688E3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2" o:title=""/>
          </v:shape>
          <o:OLEObject Type="Embed" ProgID="Excel.Sheet.12" ShapeID="_x0000_i1025" DrawAspect="Icon" ObjectID="_1614879238" r:id="rId13"/>
        </w:object>
      </w:r>
      <w:r>
        <w:rPr>
          <w:rFonts w:ascii="Arial" w:hAnsi="Arial" w:cs="Arial"/>
          <w:lang w:val="en-AU"/>
        </w:rPr>
        <w:t xml:space="preserve">           </w:t>
      </w:r>
      <w:r w:rsidRPr="00013FAD">
        <w:rPr>
          <w:rFonts w:ascii="Arial" w:hAnsi="Arial" w:cs="Arial"/>
          <w:lang w:val="en-AU"/>
        </w:rPr>
        <w:object w:dxaOrig="1531" w:dyaOrig="1004" w14:anchorId="32C1DBB4">
          <v:shape id="_x0000_i1026" type="#_x0000_t75" style="width:76.5pt;height:50.25pt" o:ole="">
            <v:imagedata r:id="rId14" o:title=""/>
          </v:shape>
          <o:OLEObject Type="Embed" ProgID="Excel.Sheet.12" ShapeID="_x0000_i1026" DrawAspect="Icon" ObjectID="_1614879239" r:id="rId15"/>
        </w:object>
      </w:r>
    </w:p>
    <w:p w14:paraId="2E43A57B" w14:textId="77777777" w:rsidR="00A353E5" w:rsidRDefault="00A353E5" w:rsidP="00A353E5">
      <w:pPr>
        <w:pStyle w:val="MahindraHeading"/>
        <w:ind w:left="1530"/>
        <w:rPr>
          <w:rFonts w:asciiTheme="minorHAnsi" w:hAnsiTheme="minorHAnsi" w:cstheme="minorHAnsi"/>
          <w:sz w:val="20"/>
          <w:szCs w:val="16"/>
        </w:rPr>
      </w:pPr>
    </w:p>
    <w:p w14:paraId="743027F2" w14:textId="77777777" w:rsidR="00A353E5" w:rsidRPr="00ED5F88" w:rsidRDefault="00A353E5" w:rsidP="00A353E5">
      <w:pPr>
        <w:pStyle w:val="MahindraHeading"/>
        <w:ind w:left="1530"/>
        <w:rPr>
          <w:rFonts w:ascii="Arial" w:eastAsia="Calibri" w:hAnsi="Arial" w:cs="Arial"/>
          <w:b w:val="0"/>
          <w:sz w:val="22"/>
          <w:szCs w:val="22"/>
        </w:rPr>
      </w:pPr>
    </w:p>
    <w:p w14:paraId="76795BAB" w14:textId="77777777" w:rsidR="00A353E5" w:rsidRDefault="00A353E5" w:rsidP="00E43BF9">
      <w:pPr>
        <w:pStyle w:val="MahindraHeading"/>
        <w:numPr>
          <w:ilvl w:val="0"/>
          <w:numId w:val="7"/>
        </w:numPr>
        <w:rPr>
          <w:rStyle w:val="MahindraSubheadingChar"/>
          <w:rFonts w:ascii="Arial" w:hAnsi="Arial" w:cs="Arial"/>
          <w:b/>
          <w:sz w:val="36"/>
          <w:szCs w:val="36"/>
        </w:rPr>
      </w:pPr>
      <w:bookmarkStart w:id="4" w:name="_Toc349560309"/>
      <w:bookmarkStart w:id="5" w:name="_Toc349563919"/>
      <w:r>
        <w:rPr>
          <w:rStyle w:val="MahindraSubheadingChar"/>
          <w:rFonts w:ascii="Arial" w:hAnsi="Arial" w:cs="Arial"/>
          <w:b/>
          <w:sz w:val="36"/>
          <w:szCs w:val="36"/>
        </w:rPr>
        <w:t>Performance Metrics and Benchmarks</w:t>
      </w:r>
      <w:bookmarkEnd w:id="4"/>
      <w:bookmarkEnd w:id="5"/>
    </w:p>
    <w:p w14:paraId="28BEB52B" w14:textId="77777777" w:rsidR="00A353E5" w:rsidRDefault="00A353E5" w:rsidP="00A353E5">
      <w:pPr>
        <w:pStyle w:val="MahindraHeading"/>
        <w:rPr>
          <w:rFonts w:ascii="Arial" w:eastAsia="Calibri" w:hAnsi="Arial" w:cs="Arial"/>
          <w:sz w:val="36"/>
          <w:szCs w:val="36"/>
        </w:rPr>
      </w:pPr>
    </w:p>
    <w:p w14:paraId="37390AD0" w14:textId="77777777" w:rsidR="00A353E5" w:rsidRDefault="00A353E5" w:rsidP="0008195A">
      <w:pPr>
        <w:pStyle w:val="MahindraHeading"/>
        <w:numPr>
          <w:ilvl w:val="1"/>
          <w:numId w:val="7"/>
        </w:numPr>
        <w:rPr>
          <w:rStyle w:val="MahindraSubheadingChar"/>
          <w:rFonts w:ascii="Arial" w:hAnsi="Arial" w:cs="Arial"/>
          <w:b/>
          <w:szCs w:val="36"/>
        </w:rPr>
      </w:pPr>
      <w:bookmarkStart w:id="6" w:name="_Toc349560310"/>
      <w:bookmarkStart w:id="7" w:name="_Toc349563920"/>
      <w:r w:rsidRPr="004A0D83">
        <w:rPr>
          <w:rStyle w:val="MahindraSubheadingChar"/>
          <w:rFonts w:ascii="Arial" w:hAnsi="Arial" w:cs="Arial"/>
          <w:b/>
          <w:szCs w:val="36"/>
        </w:rPr>
        <w:t>K</w:t>
      </w:r>
      <w:bookmarkEnd w:id="6"/>
      <w:bookmarkEnd w:id="7"/>
      <w:r w:rsidR="005477F2">
        <w:rPr>
          <w:rStyle w:val="MahindraSubheadingChar"/>
          <w:rFonts w:ascii="Arial" w:hAnsi="Arial" w:cs="Arial"/>
          <w:b/>
          <w:szCs w:val="36"/>
        </w:rPr>
        <w:t>ey Performance Indicators</w:t>
      </w:r>
    </w:p>
    <w:p w14:paraId="22609F63" w14:textId="77777777" w:rsidR="0008195A" w:rsidRDefault="0008195A" w:rsidP="0008195A">
      <w:pPr>
        <w:pStyle w:val="MahindraHeading"/>
        <w:rPr>
          <w:rStyle w:val="MahindraSubheadingChar"/>
          <w:rFonts w:ascii="Arial" w:hAnsi="Arial" w:cs="Arial"/>
          <w:b/>
          <w:szCs w:val="36"/>
        </w:rPr>
      </w:pPr>
    </w:p>
    <w:tbl>
      <w:tblPr>
        <w:tblW w:w="7872" w:type="dxa"/>
        <w:tblInd w:w="1908" w:type="dxa"/>
        <w:tblLook w:val="04A0" w:firstRow="1" w:lastRow="0" w:firstColumn="1" w:lastColumn="0" w:noHBand="0" w:noVBand="1"/>
      </w:tblPr>
      <w:tblGrid>
        <w:gridCol w:w="3286"/>
        <w:gridCol w:w="1639"/>
        <w:gridCol w:w="1486"/>
        <w:gridCol w:w="1461"/>
      </w:tblGrid>
      <w:tr w:rsidR="0008195A" w:rsidRPr="0008195A" w14:paraId="34977BB1" w14:textId="77777777" w:rsidTr="00F6656F">
        <w:trPr>
          <w:trHeight w:val="525"/>
        </w:trPr>
        <w:tc>
          <w:tcPr>
            <w:tcW w:w="3286" w:type="dxa"/>
            <w:tcBorders>
              <w:top w:val="single" w:sz="8" w:space="0" w:color="auto"/>
              <w:left w:val="single" w:sz="8" w:space="0" w:color="auto"/>
              <w:bottom w:val="single" w:sz="8" w:space="0" w:color="auto"/>
              <w:right w:val="single" w:sz="8" w:space="0" w:color="auto"/>
            </w:tcBorders>
            <w:shd w:val="clear" w:color="000000" w:fill="C00000"/>
            <w:vAlign w:val="center"/>
            <w:hideMark/>
          </w:tcPr>
          <w:p w14:paraId="6FCF59ED" w14:textId="77777777" w:rsidR="0008195A" w:rsidRPr="0008195A" w:rsidRDefault="0008195A" w:rsidP="0008195A">
            <w:pPr>
              <w:spacing w:after="0" w:line="240" w:lineRule="auto"/>
              <w:rPr>
                <w:rFonts w:ascii="Arial" w:eastAsia="Times New Roman" w:hAnsi="Arial" w:cs="Arial"/>
                <w:b/>
                <w:bCs/>
                <w:color w:val="FFFFFF"/>
                <w:sz w:val="20"/>
                <w:szCs w:val="20"/>
              </w:rPr>
            </w:pPr>
            <w:r w:rsidRPr="0008195A">
              <w:rPr>
                <w:rFonts w:ascii="Arial" w:eastAsia="Times New Roman" w:hAnsi="Arial" w:cs="Arial"/>
                <w:b/>
                <w:bCs/>
                <w:color w:val="FFFFFF"/>
                <w:sz w:val="20"/>
                <w:szCs w:val="20"/>
              </w:rPr>
              <w:t>KPI    </w:t>
            </w:r>
          </w:p>
        </w:tc>
        <w:tc>
          <w:tcPr>
            <w:tcW w:w="1639" w:type="dxa"/>
            <w:tcBorders>
              <w:top w:val="single" w:sz="8" w:space="0" w:color="auto"/>
              <w:left w:val="nil"/>
              <w:bottom w:val="single" w:sz="8" w:space="0" w:color="auto"/>
              <w:right w:val="single" w:sz="8" w:space="0" w:color="auto"/>
            </w:tcBorders>
            <w:shd w:val="clear" w:color="000000" w:fill="C00000"/>
            <w:vAlign w:val="center"/>
            <w:hideMark/>
          </w:tcPr>
          <w:p w14:paraId="00B9C573" w14:textId="77777777" w:rsidR="0008195A" w:rsidRPr="0008195A" w:rsidRDefault="0008195A" w:rsidP="0008195A">
            <w:pPr>
              <w:spacing w:after="0" w:line="240" w:lineRule="auto"/>
              <w:rPr>
                <w:rFonts w:ascii="Arial" w:eastAsia="Times New Roman" w:hAnsi="Arial" w:cs="Arial"/>
                <w:b/>
                <w:bCs/>
                <w:color w:val="FFFFFF"/>
                <w:sz w:val="20"/>
                <w:szCs w:val="20"/>
              </w:rPr>
            </w:pPr>
            <w:r w:rsidRPr="0008195A">
              <w:rPr>
                <w:rFonts w:ascii="Arial" w:eastAsia="Times New Roman" w:hAnsi="Arial" w:cs="Arial"/>
                <w:b/>
                <w:bCs/>
                <w:color w:val="FFFFFF"/>
                <w:sz w:val="20"/>
                <w:szCs w:val="20"/>
              </w:rPr>
              <w:t>Responsibility </w:t>
            </w:r>
          </w:p>
        </w:tc>
        <w:tc>
          <w:tcPr>
            <w:tcW w:w="1486" w:type="dxa"/>
            <w:tcBorders>
              <w:top w:val="single" w:sz="8" w:space="0" w:color="auto"/>
              <w:left w:val="nil"/>
              <w:bottom w:val="single" w:sz="8" w:space="0" w:color="auto"/>
              <w:right w:val="single" w:sz="8" w:space="0" w:color="auto"/>
            </w:tcBorders>
            <w:shd w:val="clear" w:color="000000" w:fill="C00000"/>
            <w:vAlign w:val="center"/>
            <w:hideMark/>
          </w:tcPr>
          <w:p w14:paraId="71D87310" w14:textId="77777777" w:rsidR="0008195A" w:rsidRPr="0008195A" w:rsidRDefault="0008195A" w:rsidP="0008195A">
            <w:pPr>
              <w:spacing w:after="0" w:line="240" w:lineRule="auto"/>
              <w:rPr>
                <w:rFonts w:ascii="Arial" w:eastAsia="Times New Roman" w:hAnsi="Arial" w:cs="Arial"/>
                <w:b/>
                <w:bCs/>
                <w:color w:val="FFFFFF"/>
                <w:sz w:val="20"/>
                <w:szCs w:val="20"/>
              </w:rPr>
            </w:pPr>
            <w:r w:rsidRPr="0008195A">
              <w:rPr>
                <w:rFonts w:ascii="Arial" w:eastAsia="Times New Roman" w:hAnsi="Arial" w:cs="Arial"/>
                <w:b/>
                <w:bCs/>
                <w:color w:val="FFFFFF"/>
                <w:sz w:val="20"/>
                <w:szCs w:val="20"/>
              </w:rPr>
              <w:t>Data Source</w:t>
            </w:r>
          </w:p>
        </w:tc>
        <w:tc>
          <w:tcPr>
            <w:tcW w:w="1461" w:type="dxa"/>
            <w:tcBorders>
              <w:top w:val="single" w:sz="8" w:space="0" w:color="auto"/>
              <w:left w:val="nil"/>
              <w:bottom w:val="single" w:sz="8" w:space="0" w:color="auto"/>
              <w:right w:val="single" w:sz="8" w:space="0" w:color="auto"/>
            </w:tcBorders>
            <w:shd w:val="clear" w:color="000000" w:fill="C00000"/>
            <w:vAlign w:val="center"/>
            <w:hideMark/>
          </w:tcPr>
          <w:p w14:paraId="17C3260D" w14:textId="77777777" w:rsidR="0008195A" w:rsidRPr="0008195A" w:rsidRDefault="0008195A" w:rsidP="0008195A">
            <w:pPr>
              <w:spacing w:after="0" w:line="240" w:lineRule="auto"/>
              <w:rPr>
                <w:rFonts w:ascii="Arial" w:eastAsia="Times New Roman" w:hAnsi="Arial" w:cs="Arial"/>
                <w:b/>
                <w:bCs/>
                <w:color w:val="FFFFFF"/>
                <w:sz w:val="20"/>
                <w:szCs w:val="20"/>
              </w:rPr>
            </w:pPr>
            <w:r w:rsidRPr="0008195A">
              <w:rPr>
                <w:rFonts w:ascii="Arial" w:eastAsia="Times New Roman" w:hAnsi="Arial" w:cs="Arial"/>
                <w:b/>
                <w:bCs/>
                <w:color w:val="FFFFFF"/>
                <w:sz w:val="20"/>
                <w:szCs w:val="20"/>
              </w:rPr>
              <w:t>Periodicity    </w:t>
            </w:r>
          </w:p>
        </w:tc>
      </w:tr>
      <w:tr w:rsidR="0008195A" w:rsidRPr="0008195A" w14:paraId="7C841EDC" w14:textId="77777777" w:rsidTr="00F6656F">
        <w:trPr>
          <w:trHeight w:val="585"/>
        </w:trPr>
        <w:tc>
          <w:tcPr>
            <w:tcW w:w="3286" w:type="dxa"/>
            <w:tcBorders>
              <w:top w:val="nil"/>
              <w:left w:val="single" w:sz="8" w:space="0" w:color="auto"/>
              <w:bottom w:val="single" w:sz="8" w:space="0" w:color="auto"/>
              <w:right w:val="single" w:sz="8" w:space="0" w:color="auto"/>
            </w:tcBorders>
            <w:shd w:val="clear" w:color="auto" w:fill="auto"/>
            <w:vAlign w:val="bottom"/>
            <w:hideMark/>
          </w:tcPr>
          <w:p w14:paraId="32710D45"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lang w:val="en-AU"/>
              </w:rPr>
              <w:t xml:space="preserve">VA for all online Servers/Network/Security Devices </w:t>
            </w:r>
          </w:p>
        </w:tc>
        <w:tc>
          <w:tcPr>
            <w:tcW w:w="1639" w:type="dxa"/>
            <w:tcBorders>
              <w:top w:val="nil"/>
              <w:left w:val="nil"/>
              <w:bottom w:val="single" w:sz="8" w:space="0" w:color="auto"/>
              <w:right w:val="single" w:sz="8" w:space="0" w:color="auto"/>
            </w:tcBorders>
            <w:shd w:val="clear" w:color="auto" w:fill="auto"/>
            <w:hideMark/>
          </w:tcPr>
          <w:p w14:paraId="3616CCFC"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rPr>
              <w:t>AMCST</w:t>
            </w:r>
          </w:p>
        </w:tc>
        <w:tc>
          <w:tcPr>
            <w:tcW w:w="1486" w:type="dxa"/>
            <w:tcBorders>
              <w:top w:val="nil"/>
              <w:left w:val="nil"/>
              <w:bottom w:val="single" w:sz="8" w:space="0" w:color="auto"/>
              <w:right w:val="single" w:sz="8" w:space="0" w:color="auto"/>
            </w:tcBorders>
            <w:shd w:val="clear" w:color="auto" w:fill="auto"/>
            <w:vAlign w:val="bottom"/>
            <w:hideMark/>
          </w:tcPr>
          <w:p w14:paraId="23C2ACE0"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lang w:val="en-AU"/>
              </w:rPr>
              <w:t>VA review report</w:t>
            </w:r>
          </w:p>
        </w:tc>
        <w:tc>
          <w:tcPr>
            <w:tcW w:w="1461" w:type="dxa"/>
            <w:tcBorders>
              <w:top w:val="nil"/>
              <w:left w:val="nil"/>
              <w:bottom w:val="single" w:sz="8" w:space="0" w:color="auto"/>
              <w:right w:val="single" w:sz="8" w:space="0" w:color="auto"/>
            </w:tcBorders>
            <w:shd w:val="clear" w:color="auto" w:fill="auto"/>
            <w:vAlign w:val="bottom"/>
            <w:hideMark/>
          </w:tcPr>
          <w:p w14:paraId="7E6ED23B"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rPr>
              <w:t>Quarterly</w:t>
            </w:r>
          </w:p>
        </w:tc>
      </w:tr>
      <w:tr w:rsidR="0008195A" w:rsidRPr="0008195A" w14:paraId="743C6A11" w14:textId="77777777" w:rsidTr="00F6656F">
        <w:trPr>
          <w:trHeight w:val="585"/>
        </w:trPr>
        <w:tc>
          <w:tcPr>
            <w:tcW w:w="3286" w:type="dxa"/>
            <w:tcBorders>
              <w:top w:val="nil"/>
              <w:left w:val="single" w:sz="8" w:space="0" w:color="auto"/>
              <w:bottom w:val="single" w:sz="8" w:space="0" w:color="auto"/>
              <w:right w:val="single" w:sz="8" w:space="0" w:color="auto"/>
            </w:tcBorders>
            <w:shd w:val="clear" w:color="auto" w:fill="auto"/>
            <w:vAlign w:val="bottom"/>
            <w:hideMark/>
          </w:tcPr>
          <w:p w14:paraId="73A0E0D2"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rPr>
              <w:t>Implementation of the solutions for vulnerabilities closure</w:t>
            </w:r>
          </w:p>
        </w:tc>
        <w:tc>
          <w:tcPr>
            <w:tcW w:w="1639" w:type="dxa"/>
            <w:tcBorders>
              <w:top w:val="nil"/>
              <w:left w:val="nil"/>
              <w:bottom w:val="single" w:sz="8" w:space="0" w:color="auto"/>
              <w:right w:val="single" w:sz="8" w:space="0" w:color="auto"/>
            </w:tcBorders>
            <w:shd w:val="clear" w:color="auto" w:fill="auto"/>
            <w:hideMark/>
          </w:tcPr>
          <w:p w14:paraId="7DDDBEB6"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p>
        </w:tc>
        <w:tc>
          <w:tcPr>
            <w:tcW w:w="1486" w:type="dxa"/>
            <w:tcBorders>
              <w:top w:val="nil"/>
              <w:left w:val="nil"/>
              <w:bottom w:val="single" w:sz="8" w:space="0" w:color="auto"/>
              <w:right w:val="single" w:sz="8" w:space="0" w:color="auto"/>
            </w:tcBorders>
            <w:shd w:val="clear" w:color="auto" w:fill="auto"/>
            <w:vAlign w:val="bottom"/>
            <w:hideMark/>
          </w:tcPr>
          <w:p w14:paraId="3EEA5802"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rPr>
              <w:t>False positive list/Audi report</w:t>
            </w:r>
          </w:p>
        </w:tc>
        <w:tc>
          <w:tcPr>
            <w:tcW w:w="1461" w:type="dxa"/>
            <w:tcBorders>
              <w:top w:val="nil"/>
              <w:left w:val="nil"/>
              <w:bottom w:val="single" w:sz="8" w:space="0" w:color="auto"/>
              <w:right w:val="single" w:sz="8" w:space="0" w:color="auto"/>
            </w:tcBorders>
            <w:shd w:val="clear" w:color="auto" w:fill="auto"/>
            <w:vAlign w:val="bottom"/>
            <w:hideMark/>
          </w:tcPr>
          <w:p w14:paraId="3F3F235D" w14:textId="77777777" w:rsidR="0008195A" w:rsidRPr="0008195A" w:rsidRDefault="0008195A" w:rsidP="0008195A">
            <w:pPr>
              <w:spacing w:after="0" w:line="240" w:lineRule="auto"/>
              <w:ind w:firstLineChars="100" w:firstLine="200"/>
              <w:rPr>
                <w:rFonts w:ascii="Arial" w:eastAsia="Times New Roman" w:hAnsi="Arial" w:cs="Arial"/>
                <w:color w:val="000000"/>
                <w:sz w:val="20"/>
                <w:szCs w:val="20"/>
              </w:rPr>
            </w:pPr>
            <w:r w:rsidRPr="0008195A">
              <w:rPr>
                <w:rFonts w:ascii="Arial" w:eastAsia="Times New Roman" w:hAnsi="Arial" w:cs="Arial"/>
                <w:color w:val="000000"/>
                <w:sz w:val="20"/>
                <w:szCs w:val="20"/>
              </w:rPr>
              <w:t>Quarterly</w:t>
            </w:r>
          </w:p>
        </w:tc>
      </w:tr>
    </w:tbl>
    <w:p w14:paraId="4CBE12B9" w14:textId="77777777" w:rsidR="0008195A" w:rsidRPr="004A0D83" w:rsidRDefault="0008195A" w:rsidP="0008195A">
      <w:pPr>
        <w:pStyle w:val="MahindraHeading"/>
        <w:rPr>
          <w:rStyle w:val="MahindraSubheadingChar"/>
          <w:rFonts w:ascii="Arial" w:hAnsi="Arial" w:cs="Arial"/>
          <w:b/>
          <w:szCs w:val="36"/>
        </w:rPr>
      </w:pPr>
    </w:p>
    <w:p w14:paraId="32E1297C" w14:textId="77777777" w:rsidR="00A353E5" w:rsidRDefault="00A353E5" w:rsidP="00A353E5">
      <w:pPr>
        <w:pStyle w:val="MahindraHeading"/>
        <w:rPr>
          <w:rFonts w:ascii="Arial" w:eastAsia="Calibri" w:hAnsi="Arial" w:cs="Arial"/>
          <w:sz w:val="36"/>
          <w:szCs w:val="36"/>
        </w:rPr>
      </w:pPr>
    </w:p>
    <w:p w14:paraId="03015191" w14:textId="77777777" w:rsidR="00A353E5" w:rsidRPr="004F6676" w:rsidRDefault="0096585D" w:rsidP="00A353E5">
      <w:pPr>
        <w:pStyle w:val="MahindraHeading"/>
        <w:spacing w:after="240"/>
        <w:ind w:left="1080"/>
        <w:rPr>
          <w:rFonts w:ascii="Arial" w:eastAsia="Calibri" w:hAnsi="Arial" w:cs="Arial"/>
          <w:sz w:val="28"/>
          <w:szCs w:val="36"/>
        </w:rPr>
      </w:pPr>
      <w:bookmarkStart w:id="8" w:name="_Toc349563921"/>
      <w:r>
        <w:rPr>
          <w:rFonts w:ascii="Arial" w:eastAsia="Calibri" w:hAnsi="Arial" w:cs="Arial"/>
          <w:sz w:val="28"/>
          <w:szCs w:val="36"/>
        </w:rPr>
        <w:t xml:space="preserve">         </w:t>
      </w:r>
      <w:proofErr w:type="gramStart"/>
      <w:r w:rsidR="00A353E5" w:rsidRPr="004F6676">
        <w:rPr>
          <w:rFonts w:ascii="Arial" w:eastAsia="Calibri" w:hAnsi="Arial" w:cs="Arial"/>
          <w:sz w:val="28"/>
          <w:szCs w:val="36"/>
        </w:rPr>
        <w:t>7.2  SLAs</w:t>
      </w:r>
      <w:bookmarkEnd w:id="8"/>
      <w:proofErr w:type="gramEnd"/>
    </w:p>
    <w:tbl>
      <w:tblPr>
        <w:tblW w:w="7830" w:type="dxa"/>
        <w:tblInd w:w="1908" w:type="dxa"/>
        <w:tblLook w:val="04A0" w:firstRow="1" w:lastRow="0" w:firstColumn="1" w:lastColumn="0" w:noHBand="0" w:noVBand="1"/>
      </w:tblPr>
      <w:tblGrid>
        <w:gridCol w:w="3330"/>
        <w:gridCol w:w="2282"/>
        <w:gridCol w:w="2218"/>
      </w:tblGrid>
      <w:tr w:rsidR="003F4381" w:rsidRPr="003F4381" w14:paraId="090283E2" w14:textId="77777777" w:rsidTr="003F4381">
        <w:trPr>
          <w:trHeight w:val="540"/>
        </w:trPr>
        <w:tc>
          <w:tcPr>
            <w:tcW w:w="3330" w:type="dxa"/>
            <w:tcBorders>
              <w:top w:val="single" w:sz="8" w:space="0" w:color="auto"/>
              <w:left w:val="single" w:sz="8" w:space="0" w:color="auto"/>
              <w:bottom w:val="single" w:sz="8" w:space="0" w:color="auto"/>
              <w:right w:val="single" w:sz="8" w:space="0" w:color="auto"/>
            </w:tcBorders>
            <w:shd w:val="clear" w:color="000000" w:fill="C00000"/>
            <w:vAlign w:val="bottom"/>
            <w:hideMark/>
          </w:tcPr>
          <w:p w14:paraId="64A2E125" w14:textId="77777777" w:rsidR="003F4381" w:rsidRPr="003F4381" w:rsidRDefault="003F4381" w:rsidP="003F4381">
            <w:pPr>
              <w:spacing w:after="0" w:line="240" w:lineRule="auto"/>
              <w:jc w:val="center"/>
              <w:rPr>
                <w:rFonts w:ascii="Arial" w:eastAsia="Times New Roman" w:hAnsi="Arial" w:cs="Arial"/>
                <w:b/>
                <w:bCs/>
                <w:color w:val="FFFFFF"/>
                <w:sz w:val="20"/>
                <w:szCs w:val="20"/>
              </w:rPr>
            </w:pPr>
            <w:r w:rsidRPr="003F4381">
              <w:rPr>
                <w:rFonts w:ascii="Arial" w:eastAsia="Times New Roman" w:hAnsi="Arial" w:cs="Arial"/>
                <w:b/>
                <w:bCs/>
                <w:color w:val="FFFFFF"/>
                <w:sz w:val="20"/>
                <w:szCs w:val="20"/>
              </w:rPr>
              <w:t>Service Provided</w:t>
            </w:r>
          </w:p>
        </w:tc>
        <w:tc>
          <w:tcPr>
            <w:tcW w:w="2282" w:type="dxa"/>
            <w:tcBorders>
              <w:top w:val="single" w:sz="8" w:space="0" w:color="auto"/>
              <w:left w:val="nil"/>
              <w:bottom w:val="single" w:sz="8" w:space="0" w:color="auto"/>
              <w:right w:val="single" w:sz="8" w:space="0" w:color="auto"/>
            </w:tcBorders>
            <w:shd w:val="clear" w:color="000000" w:fill="C00000"/>
            <w:vAlign w:val="bottom"/>
            <w:hideMark/>
          </w:tcPr>
          <w:p w14:paraId="57A42E7F" w14:textId="77777777" w:rsidR="003F4381" w:rsidRPr="003F4381" w:rsidRDefault="003F4381" w:rsidP="003F4381">
            <w:pPr>
              <w:spacing w:after="0" w:line="240" w:lineRule="auto"/>
              <w:jc w:val="center"/>
              <w:rPr>
                <w:rFonts w:ascii="Arial" w:eastAsia="Times New Roman" w:hAnsi="Arial" w:cs="Arial"/>
                <w:b/>
                <w:bCs/>
                <w:color w:val="FFFFFF"/>
                <w:sz w:val="20"/>
                <w:szCs w:val="20"/>
              </w:rPr>
            </w:pPr>
            <w:r w:rsidRPr="003F4381">
              <w:rPr>
                <w:rFonts w:ascii="Arial" w:eastAsia="Times New Roman" w:hAnsi="Arial" w:cs="Arial"/>
                <w:b/>
                <w:bCs/>
                <w:color w:val="FFFFFF"/>
                <w:sz w:val="20"/>
                <w:szCs w:val="20"/>
              </w:rPr>
              <w:t>SLA parameter</w:t>
            </w:r>
          </w:p>
        </w:tc>
        <w:tc>
          <w:tcPr>
            <w:tcW w:w="2218" w:type="dxa"/>
            <w:tcBorders>
              <w:top w:val="single" w:sz="8" w:space="0" w:color="auto"/>
              <w:left w:val="nil"/>
              <w:bottom w:val="single" w:sz="8" w:space="0" w:color="auto"/>
              <w:right w:val="single" w:sz="8" w:space="0" w:color="auto"/>
            </w:tcBorders>
            <w:shd w:val="clear" w:color="000000" w:fill="C00000"/>
            <w:vAlign w:val="bottom"/>
            <w:hideMark/>
          </w:tcPr>
          <w:p w14:paraId="509897C0" w14:textId="77777777" w:rsidR="003F4381" w:rsidRPr="003F4381" w:rsidRDefault="003F4381" w:rsidP="003F4381">
            <w:pPr>
              <w:spacing w:after="0" w:line="240" w:lineRule="auto"/>
              <w:jc w:val="center"/>
              <w:rPr>
                <w:rFonts w:ascii="Arial" w:eastAsia="Times New Roman" w:hAnsi="Arial" w:cs="Arial"/>
                <w:b/>
                <w:bCs/>
                <w:color w:val="FFFFFF"/>
                <w:sz w:val="20"/>
                <w:szCs w:val="20"/>
              </w:rPr>
            </w:pPr>
            <w:r w:rsidRPr="003F4381">
              <w:rPr>
                <w:rFonts w:ascii="Arial" w:eastAsia="Times New Roman" w:hAnsi="Arial" w:cs="Arial"/>
                <w:b/>
                <w:bCs/>
                <w:color w:val="FFFFFF"/>
                <w:sz w:val="20"/>
                <w:szCs w:val="20"/>
              </w:rPr>
              <w:t>Parameter Threshold</w:t>
            </w:r>
          </w:p>
        </w:tc>
      </w:tr>
      <w:tr w:rsidR="003F4381" w:rsidRPr="003F4381" w14:paraId="76F576BA" w14:textId="77777777" w:rsidTr="003F4381">
        <w:trPr>
          <w:trHeight w:val="1935"/>
        </w:trPr>
        <w:tc>
          <w:tcPr>
            <w:tcW w:w="3330" w:type="dxa"/>
            <w:tcBorders>
              <w:top w:val="nil"/>
              <w:left w:val="single" w:sz="8" w:space="0" w:color="auto"/>
              <w:bottom w:val="single" w:sz="8" w:space="0" w:color="auto"/>
              <w:right w:val="single" w:sz="8" w:space="0" w:color="auto"/>
            </w:tcBorders>
            <w:shd w:val="clear" w:color="auto" w:fill="auto"/>
            <w:vAlign w:val="center"/>
            <w:hideMark/>
          </w:tcPr>
          <w:p w14:paraId="408A347E" w14:textId="77777777" w:rsidR="003F4381" w:rsidRPr="003F4381" w:rsidRDefault="003F4381" w:rsidP="003F4381">
            <w:pPr>
              <w:spacing w:after="0" w:line="240" w:lineRule="auto"/>
              <w:jc w:val="center"/>
              <w:rPr>
                <w:rFonts w:ascii="Arial" w:eastAsia="Times New Roman" w:hAnsi="Arial" w:cs="Arial"/>
                <w:color w:val="333333"/>
                <w:sz w:val="18"/>
                <w:szCs w:val="18"/>
              </w:rPr>
            </w:pPr>
            <w:r w:rsidRPr="003F4381">
              <w:rPr>
                <w:rFonts w:ascii="Arial" w:eastAsia="Times New Roman" w:hAnsi="Arial" w:cs="Arial"/>
                <w:color w:val="333333"/>
                <w:sz w:val="18"/>
                <w:szCs w:val="18"/>
              </w:rPr>
              <w:t>Vulnerabil</w:t>
            </w:r>
            <w:r w:rsidR="003E5EFE">
              <w:rPr>
                <w:rFonts w:ascii="Arial" w:eastAsia="Times New Roman" w:hAnsi="Arial" w:cs="Arial"/>
                <w:color w:val="333333"/>
                <w:sz w:val="18"/>
                <w:szCs w:val="18"/>
              </w:rPr>
              <w:t>i</w:t>
            </w:r>
            <w:r w:rsidRPr="003F4381">
              <w:rPr>
                <w:rFonts w:ascii="Arial" w:eastAsia="Times New Roman" w:hAnsi="Arial" w:cs="Arial"/>
                <w:color w:val="333333"/>
                <w:sz w:val="18"/>
                <w:szCs w:val="18"/>
              </w:rPr>
              <w:t>ty assessment  for  systems</w:t>
            </w:r>
          </w:p>
        </w:tc>
        <w:tc>
          <w:tcPr>
            <w:tcW w:w="2282" w:type="dxa"/>
            <w:tcBorders>
              <w:top w:val="nil"/>
              <w:left w:val="nil"/>
              <w:bottom w:val="single" w:sz="8" w:space="0" w:color="auto"/>
              <w:right w:val="single" w:sz="8" w:space="0" w:color="auto"/>
            </w:tcBorders>
            <w:shd w:val="clear" w:color="auto" w:fill="auto"/>
            <w:vAlign w:val="center"/>
            <w:hideMark/>
          </w:tcPr>
          <w:p w14:paraId="110C92E1" w14:textId="77777777" w:rsidR="003F4381" w:rsidRPr="003F4381" w:rsidRDefault="003F4381" w:rsidP="003F4381">
            <w:pPr>
              <w:spacing w:after="0" w:line="240" w:lineRule="auto"/>
              <w:jc w:val="center"/>
              <w:rPr>
                <w:rFonts w:ascii="Arial" w:eastAsia="Times New Roman" w:hAnsi="Arial" w:cs="Arial"/>
                <w:color w:val="000000"/>
                <w:sz w:val="18"/>
                <w:szCs w:val="18"/>
              </w:rPr>
            </w:pPr>
            <w:r w:rsidRPr="003F4381">
              <w:rPr>
                <w:rFonts w:ascii="Arial" w:eastAsia="Times New Roman" w:hAnsi="Arial" w:cs="Arial"/>
                <w:color w:val="000000"/>
                <w:sz w:val="18"/>
                <w:szCs w:val="18"/>
              </w:rPr>
              <w:t>Time to perform vulnerability assessment on target systems and implement solutions for identified vulnerabilities</w:t>
            </w:r>
          </w:p>
        </w:tc>
        <w:tc>
          <w:tcPr>
            <w:tcW w:w="2218" w:type="dxa"/>
            <w:tcBorders>
              <w:top w:val="nil"/>
              <w:left w:val="nil"/>
              <w:bottom w:val="single" w:sz="8" w:space="0" w:color="auto"/>
              <w:right w:val="single" w:sz="8" w:space="0" w:color="auto"/>
            </w:tcBorders>
            <w:shd w:val="clear" w:color="auto" w:fill="auto"/>
            <w:vAlign w:val="center"/>
            <w:hideMark/>
          </w:tcPr>
          <w:p w14:paraId="2A6B71B2" w14:textId="77777777" w:rsidR="003F4381" w:rsidRPr="003F4381" w:rsidRDefault="003F4381" w:rsidP="003F4381">
            <w:pPr>
              <w:spacing w:after="0" w:line="240" w:lineRule="auto"/>
              <w:jc w:val="center"/>
              <w:rPr>
                <w:rFonts w:ascii="Arial" w:eastAsia="Times New Roman" w:hAnsi="Arial" w:cs="Arial"/>
                <w:color w:val="000000"/>
                <w:sz w:val="18"/>
                <w:szCs w:val="18"/>
              </w:rPr>
            </w:pPr>
            <w:r w:rsidRPr="003F4381">
              <w:rPr>
                <w:rFonts w:ascii="Arial" w:eastAsia="Times New Roman" w:hAnsi="Arial" w:cs="Arial"/>
                <w:color w:val="000000"/>
                <w:sz w:val="18"/>
                <w:szCs w:val="18"/>
              </w:rPr>
              <w:t>100% of systems should be implemented with vulnerabilities of Medium and high risk</w:t>
            </w:r>
          </w:p>
        </w:tc>
      </w:tr>
    </w:tbl>
    <w:p w14:paraId="41D8BF32" w14:textId="77777777" w:rsidR="00E073D9" w:rsidRDefault="00E073D9" w:rsidP="007705C3">
      <w:pPr>
        <w:pStyle w:val="MahindraSubheading"/>
        <w:rPr>
          <w:rStyle w:val="MahindraSubheadingChar"/>
          <w:rFonts w:ascii="Arial" w:hAnsi="Arial" w:cs="Arial"/>
          <w:sz w:val="22"/>
          <w:szCs w:val="22"/>
        </w:rPr>
      </w:pPr>
    </w:p>
    <w:p w14:paraId="332BC44C" w14:textId="77777777" w:rsidR="002656AE" w:rsidRDefault="002656AE" w:rsidP="002656AE">
      <w:pPr>
        <w:pStyle w:val="Heading2"/>
        <w:rPr>
          <w:rFonts w:eastAsia="Calibri"/>
        </w:rPr>
      </w:pPr>
    </w:p>
    <w:p w14:paraId="31165700" w14:textId="77777777" w:rsidR="002656AE" w:rsidRDefault="002656AE" w:rsidP="002656AE"/>
    <w:p w14:paraId="4114681A" w14:textId="77777777" w:rsidR="002656AE" w:rsidRDefault="002656AE" w:rsidP="002656AE"/>
    <w:p w14:paraId="46EA83C3" w14:textId="77777777" w:rsidR="002656AE" w:rsidRDefault="002656AE" w:rsidP="002656AE">
      <w:pPr>
        <w:rPr>
          <w:rStyle w:val="MahindraSubheadingChar"/>
          <w:rFonts w:ascii="Arial" w:hAnsi="Arial" w:cs="Arial"/>
        </w:rPr>
      </w:pPr>
      <w:proofErr w:type="gramStart"/>
      <w:r>
        <w:rPr>
          <w:rStyle w:val="MahindraSubheadingChar"/>
          <w:rFonts w:ascii="Arial" w:hAnsi="Arial" w:cs="Arial"/>
        </w:rPr>
        <w:t>Annexure :</w:t>
      </w:r>
      <w:proofErr w:type="gramEnd"/>
    </w:p>
    <w:p w14:paraId="2DCDB345" w14:textId="77777777" w:rsidR="002656AE" w:rsidRDefault="002656AE" w:rsidP="002656AE">
      <w:pPr>
        <w:pStyle w:val="ListParagraph"/>
        <w:numPr>
          <w:ilvl w:val="0"/>
          <w:numId w:val="10"/>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2656AE" w14:paraId="71AC86FB" w14:textId="77777777" w:rsidTr="002656AE">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14:paraId="47633954" w14:textId="77777777" w:rsidR="002656AE" w:rsidRDefault="002656AE">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14:paraId="449B2E7F" w14:textId="77777777" w:rsidR="002656AE" w:rsidRDefault="002656AE">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14:paraId="105395F5" w14:textId="77777777" w:rsidR="002656AE" w:rsidRDefault="002656AE">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2656AE" w14:paraId="5E0B1BC2" w14:textId="77777777" w:rsidTr="00D609B8">
        <w:trPr>
          <w:trHeight w:val="795"/>
        </w:trPr>
        <w:tc>
          <w:tcPr>
            <w:tcW w:w="3028" w:type="dxa"/>
            <w:tcBorders>
              <w:top w:val="single" w:sz="8" w:space="0" w:color="auto"/>
              <w:left w:val="single" w:sz="8" w:space="0" w:color="auto"/>
              <w:bottom w:val="single" w:sz="6" w:space="0" w:color="auto"/>
              <w:right w:val="single" w:sz="6" w:space="0" w:color="auto"/>
            </w:tcBorders>
            <w:vAlign w:val="bottom"/>
          </w:tcPr>
          <w:p w14:paraId="02C3471E" w14:textId="1330E414" w:rsidR="002656AE" w:rsidRDefault="002656AE" w:rsidP="00612FB0">
            <w:pPr>
              <w:spacing w:after="0" w:line="240" w:lineRule="auto"/>
              <w:rPr>
                <w:rFonts w:ascii="Arial" w:eastAsia="Times New Roman" w:hAnsi="Arial" w:cs="Arial"/>
                <w:color w:val="000000"/>
                <w:sz w:val="20"/>
                <w:szCs w:val="20"/>
              </w:rPr>
            </w:pPr>
          </w:p>
        </w:tc>
        <w:tc>
          <w:tcPr>
            <w:tcW w:w="1838" w:type="dxa"/>
            <w:tcBorders>
              <w:top w:val="single" w:sz="8" w:space="0" w:color="auto"/>
              <w:left w:val="single" w:sz="6" w:space="0" w:color="auto"/>
              <w:bottom w:val="single" w:sz="6" w:space="0" w:color="auto"/>
              <w:right w:val="single" w:sz="6" w:space="0" w:color="auto"/>
            </w:tcBorders>
            <w:vAlign w:val="bottom"/>
          </w:tcPr>
          <w:p w14:paraId="188C0E29" w14:textId="77777777" w:rsidR="002656AE" w:rsidRDefault="002656AE">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tcPr>
          <w:p w14:paraId="50080094" w14:textId="77777777" w:rsidR="002656AE" w:rsidRDefault="002656AE" w:rsidP="0000232A">
            <w:pPr>
              <w:spacing w:after="0" w:line="240" w:lineRule="auto"/>
              <w:rPr>
                <w:rFonts w:ascii="Arial" w:eastAsia="Times New Roman" w:hAnsi="Arial" w:cs="Arial"/>
                <w:color w:val="000000"/>
                <w:sz w:val="20"/>
                <w:szCs w:val="20"/>
              </w:rPr>
            </w:pPr>
          </w:p>
        </w:tc>
      </w:tr>
      <w:tr w:rsidR="002656AE" w14:paraId="24024057" w14:textId="77777777" w:rsidTr="00D609B8">
        <w:trPr>
          <w:trHeight w:val="795"/>
        </w:trPr>
        <w:tc>
          <w:tcPr>
            <w:tcW w:w="3028" w:type="dxa"/>
            <w:tcBorders>
              <w:top w:val="single" w:sz="6" w:space="0" w:color="auto"/>
              <w:left w:val="single" w:sz="8" w:space="0" w:color="auto"/>
              <w:bottom w:val="single" w:sz="6" w:space="0" w:color="auto"/>
              <w:right w:val="single" w:sz="6" w:space="0" w:color="auto"/>
            </w:tcBorders>
            <w:vAlign w:val="bottom"/>
          </w:tcPr>
          <w:p w14:paraId="64BD3929" w14:textId="2A5A250D" w:rsidR="002656AE" w:rsidRDefault="002656AE">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6" w:space="0" w:color="auto"/>
              <w:right w:val="single" w:sz="6" w:space="0" w:color="auto"/>
            </w:tcBorders>
            <w:vAlign w:val="bottom"/>
          </w:tcPr>
          <w:p w14:paraId="4A46C052" w14:textId="094800FA" w:rsidR="002656AE" w:rsidRDefault="002656AE">
            <w:pPr>
              <w:spacing w:after="0" w:line="240" w:lineRule="auto"/>
              <w:ind w:firstLineChars="100" w:firstLine="200"/>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tcPr>
          <w:p w14:paraId="7D82F51C" w14:textId="55AA81F2" w:rsidR="002656AE" w:rsidRDefault="002656AE">
            <w:pPr>
              <w:spacing w:after="0" w:line="240" w:lineRule="auto"/>
              <w:ind w:firstLineChars="100" w:firstLine="200"/>
              <w:rPr>
                <w:rFonts w:ascii="Arial" w:eastAsia="Times New Roman" w:hAnsi="Arial" w:cs="Arial"/>
                <w:color w:val="000000"/>
                <w:sz w:val="20"/>
                <w:szCs w:val="20"/>
              </w:rPr>
            </w:pPr>
          </w:p>
        </w:tc>
      </w:tr>
      <w:tr w:rsidR="002656AE" w14:paraId="7F7D6AFB" w14:textId="77777777" w:rsidTr="002656AE">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14:paraId="056B052D" w14:textId="77777777" w:rsidR="002656AE" w:rsidRDefault="002656AE">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hideMark/>
          </w:tcPr>
          <w:p w14:paraId="75B25255" w14:textId="77777777" w:rsidR="002656AE" w:rsidRDefault="002656AE">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14:paraId="550D6F8E" w14:textId="77777777" w:rsidR="002656AE" w:rsidRDefault="002656AE">
            <w:pPr>
              <w:spacing w:after="0" w:line="240" w:lineRule="auto"/>
              <w:ind w:firstLineChars="100" w:firstLine="200"/>
              <w:rPr>
                <w:rFonts w:ascii="Arial" w:eastAsia="Times New Roman" w:hAnsi="Arial" w:cs="Arial"/>
                <w:color w:val="000000"/>
                <w:sz w:val="20"/>
                <w:szCs w:val="20"/>
              </w:rPr>
            </w:pPr>
          </w:p>
        </w:tc>
      </w:tr>
    </w:tbl>
    <w:p w14:paraId="097E1B91" w14:textId="77777777" w:rsidR="002656AE" w:rsidRPr="002656AE" w:rsidRDefault="002656AE" w:rsidP="0000232A">
      <w:bookmarkStart w:id="9" w:name="_GoBack"/>
      <w:bookmarkEnd w:id="9"/>
    </w:p>
    <w:sectPr w:rsidR="002656AE" w:rsidRPr="002656AE" w:rsidSect="00AD3F62">
      <w:footerReference w:type="defaul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3226C" w14:textId="77777777" w:rsidR="009672CD" w:rsidRDefault="009672CD" w:rsidP="0058369F">
      <w:pPr>
        <w:spacing w:after="0" w:line="240" w:lineRule="auto"/>
      </w:pPr>
      <w:r>
        <w:separator/>
      </w:r>
    </w:p>
  </w:endnote>
  <w:endnote w:type="continuationSeparator" w:id="0">
    <w:p w14:paraId="0C7EF79F" w14:textId="77777777" w:rsidR="009672CD" w:rsidRDefault="009672CD"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14:paraId="478ED4DF" w14:textId="77777777" w:rsidR="00831419" w:rsidRDefault="00013FAD">
        <w:pPr>
          <w:pStyle w:val="Footer"/>
          <w:jc w:val="right"/>
        </w:pPr>
        <w:r w:rsidRPr="00B72BC9">
          <w:rPr>
            <w:rFonts w:ascii="Arial" w:hAnsi="Arial" w:cs="Arial"/>
            <w:sz w:val="20"/>
            <w:szCs w:val="20"/>
          </w:rPr>
          <w:fldChar w:fldCharType="begin"/>
        </w:r>
        <w:r w:rsidR="00831419"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C660E4">
          <w:rPr>
            <w:rFonts w:ascii="Arial" w:hAnsi="Arial" w:cs="Arial"/>
            <w:noProof/>
            <w:sz w:val="20"/>
            <w:szCs w:val="20"/>
          </w:rPr>
          <w:t>8</w:t>
        </w:r>
        <w:r w:rsidRPr="00B72BC9">
          <w:rPr>
            <w:rFonts w:ascii="Arial" w:hAnsi="Arial" w:cs="Arial"/>
            <w:sz w:val="20"/>
            <w:szCs w:val="20"/>
          </w:rPr>
          <w:fldChar w:fldCharType="end"/>
        </w:r>
      </w:p>
    </w:sdtContent>
  </w:sdt>
  <w:p w14:paraId="4D8951C4" w14:textId="77777777" w:rsidR="00831419" w:rsidRDefault="00831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9D105" w14:textId="77777777" w:rsidR="009672CD" w:rsidRDefault="009672CD" w:rsidP="0058369F">
      <w:pPr>
        <w:spacing w:after="0" w:line="240" w:lineRule="auto"/>
      </w:pPr>
      <w:r>
        <w:separator/>
      </w:r>
    </w:p>
  </w:footnote>
  <w:footnote w:type="continuationSeparator" w:id="0">
    <w:p w14:paraId="0D71F253" w14:textId="77777777" w:rsidR="009672CD" w:rsidRDefault="009672CD"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0761A"/>
    <w:multiLevelType w:val="multilevel"/>
    <w:tmpl w:val="4D04179A"/>
    <w:lvl w:ilvl="0">
      <w:start w:val="6"/>
      <w:numFmt w:val="decimal"/>
      <w:lvlText w:val="%1.0"/>
      <w:lvlJc w:val="left"/>
      <w:pPr>
        <w:ind w:left="1800" w:hanging="72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360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480" w:hanging="1800"/>
      </w:pPr>
      <w:rPr>
        <w:rFonts w:hint="default"/>
      </w:rPr>
    </w:lvl>
    <w:lvl w:ilvl="6">
      <w:start w:val="1"/>
      <w:numFmt w:val="decimal"/>
      <w:lvlText w:val="%1.%2.%3.%4.%5.%6.%7"/>
      <w:lvlJc w:val="left"/>
      <w:pPr>
        <w:ind w:left="7560" w:hanging="2160"/>
      </w:pPr>
      <w:rPr>
        <w:rFonts w:hint="default"/>
      </w:rPr>
    </w:lvl>
    <w:lvl w:ilvl="7">
      <w:start w:val="1"/>
      <w:numFmt w:val="decimal"/>
      <w:lvlText w:val="%1.%2.%3.%4.%5.%6.%7.%8"/>
      <w:lvlJc w:val="left"/>
      <w:pPr>
        <w:ind w:left="8640" w:hanging="2520"/>
      </w:pPr>
      <w:rPr>
        <w:rFonts w:hint="default"/>
      </w:rPr>
    </w:lvl>
    <w:lvl w:ilvl="8">
      <w:start w:val="1"/>
      <w:numFmt w:val="decimal"/>
      <w:lvlText w:val="%1.%2.%3.%4.%5.%6.%7.%8.%9"/>
      <w:lvlJc w:val="left"/>
      <w:pPr>
        <w:ind w:left="9720" w:hanging="2880"/>
      </w:pPr>
      <w:rPr>
        <w:rFonts w:hint="default"/>
      </w:rPr>
    </w:lvl>
  </w:abstractNum>
  <w:abstractNum w:abstractNumId="1" w15:restartNumberingAfterBreak="0">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3"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A7679D3"/>
    <w:multiLevelType w:val="multilevel"/>
    <w:tmpl w:val="AC18B41C"/>
    <w:lvl w:ilvl="0">
      <w:start w:val="7"/>
      <w:numFmt w:val="decimal"/>
      <w:lvlText w:val="%1.0"/>
      <w:lvlJc w:val="left"/>
      <w:pPr>
        <w:ind w:left="1800" w:hanging="72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360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480" w:hanging="1800"/>
      </w:pPr>
      <w:rPr>
        <w:rFonts w:hint="default"/>
      </w:rPr>
    </w:lvl>
    <w:lvl w:ilvl="6">
      <w:start w:val="1"/>
      <w:numFmt w:val="decimal"/>
      <w:lvlText w:val="%1.%2.%3.%4.%5.%6.%7"/>
      <w:lvlJc w:val="left"/>
      <w:pPr>
        <w:ind w:left="7560" w:hanging="2160"/>
      </w:pPr>
      <w:rPr>
        <w:rFonts w:hint="default"/>
      </w:rPr>
    </w:lvl>
    <w:lvl w:ilvl="7">
      <w:start w:val="1"/>
      <w:numFmt w:val="decimal"/>
      <w:lvlText w:val="%1.%2.%3.%4.%5.%6.%7.%8"/>
      <w:lvlJc w:val="left"/>
      <w:pPr>
        <w:ind w:left="8640" w:hanging="2520"/>
      </w:pPr>
      <w:rPr>
        <w:rFonts w:hint="default"/>
      </w:rPr>
    </w:lvl>
    <w:lvl w:ilvl="8">
      <w:start w:val="1"/>
      <w:numFmt w:val="decimal"/>
      <w:lvlText w:val="%1.%2.%3.%4.%5.%6.%7.%8.%9"/>
      <w:lvlJc w:val="left"/>
      <w:pPr>
        <w:ind w:left="9720" w:hanging="2880"/>
      </w:pPr>
      <w:rPr>
        <w:rFonts w:hint="default"/>
      </w:rPr>
    </w:lvl>
  </w:abstractNum>
  <w:abstractNum w:abstractNumId="5" w15:restartNumberingAfterBreak="0">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5C82C9F"/>
    <w:multiLevelType w:val="hybridMultilevel"/>
    <w:tmpl w:val="44BAEC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8" w15:restartNumberingAfterBreak="0">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6B6B11"/>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8"/>
  </w:num>
  <w:num w:numId="6">
    <w:abstractNumId w:val="5"/>
  </w:num>
  <w:num w:numId="7">
    <w:abstractNumId w:val="4"/>
  </w:num>
  <w:num w:numId="8">
    <w:abstractNumId w:val="0"/>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232A"/>
    <w:rsid w:val="00010DBE"/>
    <w:rsid w:val="00012CA3"/>
    <w:rsid w:val="00013FAD"/>
    <w:rsid w:val="000207A9"/>
    <w:rsid w:val="000229A6"/>
    <w:rsid w:val="0003019B"/>
    <w:rsid w:val="0004225A"/>
    <w:rsid w:val="00045428"/>
    <w:rsid w:val="00053316"/>
    <w:rsid w:val="00055A2A"/>
    <w:rsid w:val="00063F11"/>
    <w:rsid w:val="00067068"/>
    <w:rsid w:val="00071E5E"/>
    <w:rsid w:val="0008195A"/>
    <w:rsid w:val="00081AFE"/>
    <w:rsid w:val="00092F1D"/>
    <w:rsid w:val="000A095D"/>
    <w:rsid w:val="000A2C12"/>
    <w:rsid w:val="000A7BD5"/>
    <w:rsid w:val="000B03B8"/>
    <w:rsid w:val="000B0FC3"/>
    <w:rsid w:val="000B2E41"/>
    <w:rsid w:val="000C1918"/>
    <w:rsid w:val="000C664D"/>
    <w:rsid w:val="000D27D6"/>
    <w:rsid w:val="000D7DBF"/>
    <w:rsid w:val="000E757C"/>
    <w:rsid w:val="001013A8"/>
    <w:rsid w:val="00105B18"/>
    <w:rsid w:val="001116AE"/>
    <w:rsid w:val="00117CCA"/>
    <w:rsid w:val="001269D6"/>
    <w:rsid w:val="00131898"/>
    <w:rsid w:val="00140A9D"/>
    <w:rsid w:val="001553C8"/>
    <w:rsid w:val="00162A4E"/>
    <w:rsid w:val="0016393D"/>
    <w:rsid w:val="001675A9"/>
    <w:rsid w:val="001768B6"/>
    <w:rsid w:val="00181C49"/>
    <w:rsid w:val="00182D19"/>
    <w:rsid w:val="0018303B"/>
    <w:rsid w:val="00183294"/>
    <w:rsid w:val="001857FB"/>
    <w:rsid w:val="00192B6C"/>
    <w:rsid w:val="001936A3"/>
    <w:rsid w:val="001A4310"/>
    <w:rsid w:val="001A54B2"/>
    <w:rsid w:val="001A6E7E"/>
    <w:rsid w:val="001B41EC"/>
    <w:rsid w:val="001C5834"/>
    <w:rsid w:val="001C6F66"/>
    <w:rsid w:val="001C7D43"/>
    <w:rsid w:val="001F05A9"/>
    <w:rsid w:val="001F0B6A"/>
    <w:rsid w:val="001F23AA"/>
    <w:rsid w:val="0020201A"/>
    <w:rsid w:val="00203925"/>
    <w:rsid w:val="00210527"/>
    <w:rsid w:val="0021170E"/>
    <w:rsid w:val="002128C3"/>
    <w:rsid w:val="00223D56"/>
    <w:rsid w:val="0024024E"/>
    <w:rsid w:val="00243E3C"/>
    <w:rsid w:val="00253084"/>
    <w:rsid w:val="00254A22"/>
    <w:rsid w:val="00254E30"/>
    <w:rsid w:val="002656AE"/>
    <w:rsid w:val="00265745"/>
    <w:rsid w:val="0027489B"/>
    <w:rsid w:val="00286A6A"/>
    <w:rsid w:val="002A2CE4"/>
    <w:rsid w:val="002B5369"/>
    <w:rsid w:val="002C0751"/>
    <w:rsid w:val="002C0CA7"/>
    <w:rsid w:val="002D1574"/>
    <w:rsid w:val="002D227A"/>
    <w:rsid w:val="002D2D8C"/>
    <w:rsid w:val="002D32FE"/>
    <w:rsid w:val="002E2BDA"/>
    <w:rsid w:val="002E5B9E"/>
    <w:rsid w:val="002E746B"/>
    <w:rsid w:val="002F24EB"/>
    <w:rsid w:val="00304F16"/>
    <w:rsid w:val="00306DCF"/>
    <w:rsid w:val="0031045B"/>
    <w:rsid w:val="00312BFE"/>
    <w:rsid w:val="003224D5"/>
    <w:rsid w:val="00324F28"/>
    <w:rsid w:val="003323BD"/>
    <w:rsid w:val="00344AED"/>
    <w:rsid w:val="0034505D"/>
    <w:rsid w:val="003452EB"/>
    <w:rsid w:val="003608A9"/>
    <w:rsid w:val="0036237C"/>
    <w:rsid w:val="00364042"/>
    <w:rsid w:val="00365DF0"/>
    <w:rsid w:val="003706DF"/>
    <w:rsid w:val="00373D6E"/>
    <w:rsid w:val="003773AD"/>
    <w:rsid w:val="0038176B"/>
    <w:rsid w:val="00381DF8"/>
    <w:rsid w:val="003862A1"/>
    <w:rsid w:val="00386915"/>
    <w:rsid w:val="00392BF2"/>
    <w:rsid w:val="003A0180"/>
    <w:rsid w:val="003A2DF4"/>
    <w:rsid w:val="003A5359"/>
    <w:rsid w:val="003C27AD"/>
    <w:rsid w:val="003C27C5"/>
    <w:rsid w:val="003C37D0"/>
    <w:rsid w:val="003C5A7E"/>
    <w:rsid w:val="003D0118"/>
    <w:rsid w:val="003D068B"/>
    <w:rsid w:val="003D291E"/>
    <w:rsid w:val="003D50EE"/>
    <w:rsid w:val="003D6AA0"/>
    <w:rsid w:val="003D7FEE"/>
    <w:rsid w:val="003E4DE3"/>
    <w:rsid w:val="003E5EFE"/>
    <w:rsid w:val="003F4381"/>
    <w:rsid w:val="0040258A"/>
    <w:rsid w:val="00402C86"/>
    <w:rsid w:val="00403811"/>
    <w:rsid w:val="004044C3"/>
    <w:rsid w:val="00406138"/>
    <w:rsid w:val="00430C26"/>
    <w:rsid w:val="00440A2B"/>
    <w:rsid w:val="00441E86"/>
    <w:rsid w:val="0044772F"/>
    <w:rsid w:val="0045145B"/>
    <w:rsid w:val="00451CD8"/>
    <w:rsid w:val="004627B4"/>
    <w:rsid w:val="004661E2"/>
    <w:rsid w:val="004700A5"/>
    <w:rsid w:val="004712E7"/>
    <w:rsid w:val="00473A90"/>
    <w:rsid w:val="00473F60"/>
    <w:rsid w:val="0047599C"/>
    <w:rsid w:val="004902BD"/>
    <w:rsid w:val="004963BC"/>
    <w:rsid w:val="004A0377"/>
    <w:rsid w:val="004B318B"/>
    <w:rsid w:val="004B601D"/>
    <w:rsid w:val="004B7891"/>
    <w:rsid w:val="004B7E3A"/>
    <w:rsid w:val="004C61EC"/>
    <w:rsid w:val="004C68A7"/>
    <w:rsid w:val="004D1309"/>
    <w:rsid w:val="004D37B1"/>
    <w:rsid w:val="004D410F"/>
    <w:rsid w:val="004E06C8"/>
    <w:rsid w:val="004E6FD7"/>
    <w:rsid w:val="004F07C3"/>
    <w:rsid w:val="004F0BE0"/>
    <w:rsid w:val="005061B6"/>
    <w:rsid w:val="00510D20"/>
    <w:rsid w:val="0051448E"/>
    <w:rsid w:val="005213C3"/>
    <w:rsid w:val="0053413F"/>
    <w:rsid w:val="00540899"/>
    <w:rsid w:val="00542E63"/>
    <w:rsid w:val="0054709E"/>
    <w:rsid w:val="005477F2"/>
    <w:rsid w:val="00551A02"/>
    <w:rsid w:val="005523DC"/>
    <w:rsid w:val="00552E2D"/>
    <w:rsid w:val="00562CFE"/>
    <w:rsid w:val="00571301"/>
    <w:rsid w:val="0058369F"/>
    <w:rsid w:val="00584690"/>
    <w:rsid w:val="00587B9C"/>
    <w:rsid w:val="005B11C3"/>
    <w:rsid w:val="005B6D3B"/>
    <w:rsid w:val="005C10D5"/>
    <w:rsid w:val="005C2912"/>
    <w:rsid w:val="005D5CA2"/>
    <w:rsid w:val="005E5DE2"/>
    <w:rsid w:val="005E7574"/>
    <w:rsid w:val="005E778C"/>
    <w:rsid w:val="00607780"/>
    <w:rsid w:val="00612FB0"/>
    <w:rsid w:val="006270C3"/>
    <w:rsid w:val="00637833"/>
    <w:rsid w:val="00643AD9"/>
    <w:rsid w:val="00646018"/>
    <w:rsid w:val="00646092"/>
    <w:rsid w:val="006502A8"/>
    <w:rsid w:val="0065554A"/>
    <w:rsid w:val="00672144"/>
    <w:rsid w:val="00675F1E"/>
    <w:rsid w:val="006767B6"/>
    <w:rsid w:val="00690D64"/>
    <w:rsid w:val="006B1735"/>
    <w:rsid w:val="006B2B37"/>
    <w:rsid w:val="006B6F4E"/>
    <w:rsid w:val="006D242E"/>
    <w:rsid w:val="006D38DA"/>
    <w:rsid w:val="006D39A3"/>
    <w:rsid w:val="006D560A"/>
    <w:rsid w:val="006E1064"/>
    <w:rsid w:val="006E2172"/>
    <w:rsid w:val="006E2C9F"/>
    <w:rsid w:val="006F5876"/>
    <w:rsid w:val="0070492F"/>
    <w:rsid w:val="00722685"/>
    <w:rsid w:val="00726DC7"/>
    <w:rsid w:val="00730878"/>
    <w:rsid w:val="00730DAF"/>
    <w:rsid w:val="007315B6"/>
    <w:rsid w:val="00733A1E"/>
    <w:rsid w:val="007342DB"/>
    <w:rsid w:val="007366DF"/>
    <w:rsid w:val="00744882"/>
    <w:rsid w:val="00747DE2"/>
    <w:rsid w:val="00763749"/>
    <w:rsid w:val="0076434D"/>
    <w:rsid w:val="00764672"/>
    <w:rsid w:val="007664EF"/>
    <w:rsid w:val="007705C3"/>
    <w:rsid w:val="0077503F"/>
    <w:rsid w:val="007753E3"/>
    <w:rsid w:val="0078062F"/>
    <w:rsid w:val="0078259A"/>
    <w:rsid w:val="00782A35"/>
    <w:rsid w:val="00783D66"/>
    <w:rsid w:val="00787F5A"/>
    <w:rsid w:val="007B1E1A"/>
    <w:rsid w:val="007B30FF"/>
    <w:rsid w:val="007D10B3"/>
    <w:rsid w:val="007D196A"/>
    <w:rsid w:val="007E4D3E"/>
    <w:rsid w:val="007E723F"/>
    <w:rsid w:val="0081085A"/>
    <w:rsid w:val="00815BBD"/>
    <w:rsid w:val="00823EF8"/>
    <w:rsid w:val="00823F3E"/>
    <w:rsid w:val="00831419"/>
    <w:rsid w:val="00833E34"/>
    <w:rsid w:val="00841374"/>
    <w:rsid w:val="0084386B"/>
    <w:rsid w:val="008507D9"/>
    <w:rsid w:val="0085423A"/>
    <w:rsid w:val="00854DBD"/>
    <w:rsid w:val="00855B26"/>
    <w:rsid w:val="00867921"/>
    <w:rsid w:val="00873C68"/>
    <w:rsid w:val="00874AE5"/>
    <w:rsid w:val="00875E9C"/>
    <w:rsid w:val="008767F0"/>
    <w:rsid w:val="0088408F"/>
    <w:rsid w:val="008A131E"/>
    <w:rsid w:val="008A1553"/>
    <w:rsid w:val="008B2436"/>
    <w:rsid w:val="008F5136"/>
    <w:rsid w:val="00902C52"/>
    <w:rsid w:val="00902E8B"/>
    <w:rsid w:val="009109BD"/>
    <w:rsid w:val="00910C69"/>
    <w:rsid w:val="00914C3B"/>
    <w:rsid w:val="00916CD6"/>
    <w:rsid w:val="0092124B"/>
    <w:rsid w:val="009212F2"/>
    <w:rsid w:val="00925595"/>
    <w:rsid w:val="0093330E"/>
    <w:rsid w:val="00935494"/>
    <w:rsid w:val="00951262"/>
    <w:rsid w:val="009524FB"/>
    <w:rsid w:val="0096585D"/>
    <w:rsid w:val="009672CD"/>
    <w:rsid w:val="00970D95"/>
    <w:rsid w:val="00970ECC"/>
    <w:rsid w:val="00980D2C"/>
    <w:rsid w:val="00983C4F"/>
    <w:rsid w:val="00996710"/>
    <w:rsid w:val="009A6F32"/>
    <w:rsid w:val="009B0D4F"/>
    <w:rsid w:val="009B2F87"/>
    <w:rsid w:val="009B6D40"/>
    <w:rsid w:val="009C0FC7"/>
    <w:rsid w:val="009C4749"/>
    <w:rsid w:val="009C4775"/>
    <w:rsid w:val="009C4E93"/>
    <w:rsid w:val="009C7F1D"/>
    <w:rsid w:val="009D524E"/>
    <w:rsid w:val="009E62F9"/>
    <w:rsid w:val="009E6979"/>
    <w:rsid w:val="00A00B92"/>
    <w:rsid w:val="00A12A42"/>
    <w:rsid w:val="00A24483"/>
    <w:rsid w:val="00A353E5"/>
    <w:rsid w:val="00A553CD"/>
    <w:rsid w:val="00A63646"/>
    <w:rsid w:val="00A71AC0"/>
    <w:rsid w:val="00A80316"/>
    <w:rsid w:val="00A843BB"/>
    <w:rsid w:val="00A92E2B"/>
    <w:rsid w:val="00AA123B"/>
    <w:rsid w:val="00AA2386"/>
    <w:rsid w:val="00AA43DE"/>
    <w:rsid w:val="00AA6F1E"/>
    <w:rsid w:val="00AB22D0"/>
    <w:rsid w:val="00AB5935"/>
    <w:rsid w:val="00AB5A53"/>
    <w:rsid w:val="00AB6FCB"/>
    <w:rsid w:val="00AC4802"/>
    <w:rsid w:val="00AC73F3"/>
    <w:rsid w:val="00AC7499"/>
    <w:rsid w:val="00AD3F62"/>
    <w:rsid w:val="00AD6255"/>
    <w:rsid w:val="00AE17FA"/>
    <w:rsid w:val="00AE63F8"/>
    <w:rsid w:val="00AF27C0"/>
    <w:rsid w:val="00B00939"/>
    <w:rsid w:val="00B010E3"/>
    <w:rsid w:val="00B1011E"/>
    <w:rsid w:val="00B145DF"/>
    <w:rsid w:val="00B155B1"/>
    <w:rsid w:val="00B23382"/>
    <w:rsid w:val="00B25B8A"/>
    <w:rsid w:val="00B31637"/>
    <w:rsid w:val="00B31A6D"/>
    <w:rsid w:val="00B35F40"/>
    <w:rsid w:val="00B37AC4"/>
    <w:rsid w:val="00B4104A"/>
    <w:rsid w:val="00B41321"/>
    <w:rsid w:val="00B45929"/>
    <w:rsid w:val="00B72BC9"/>
    <w:rsid w:val="00B82E20"/>
    <w:rsid w:val="00B9057F"/>
    <w:rsid w:val="00B94B55"/>
    <w:rsid w:val="00B95502"/>
    <w:rsid w:val="00B97E17"/>
    <w:rsid w:val="00BA0E35"/>
    <w:rsid w:val="00BA107A"/>
    <w:rsid w:val="00BA66ED"/>
    <w:rsid w:val="00BB4921"/>
    <w:rsid w:val="00BB596B"/>
    <w:rsid w:val="00BC0DA3"/>
    <w:rsid w:val="00BC3D53"/>
    <w:rsid w:val="00BD6560"/>
    <w:rsid w:val="00BF2139"/>
    <w:rsid w:val="00BF6003"/>
    <w:rsid w:val="00C05836"/>
    <w:rsid w:val="00C115FF"/>
    <w:rsid w:val="00C11B8B"/>
    <w:rsid w:val="00C31544"/>
    <w:rsid w:val="00C31C5D"/>
    <w:rsid w:val="00C35FC5"/>
    <w:rsid w:val="00C37DD4"/>
    <w:rsid w:val="00C40C36"/>
    <w:rsid w:val="00C4276B"/>
    <w:rsid w:val="00C47AC1"/>
    <w:rsid w:val="00C53435"/>
    <w:rsid w:val="00C54236"/>
    <w:rsid w:val="00C573DD"/>
    <w:rsid w:val="00C660E4"/>
    <w:rsid w:val="00C66C93"/>
    <w:rsid w:val="00C75066"/>
    <w:rsid w:val="00C75D37"/>
    <w:rsid w:val="00C7678B"/>
    <w:rsid w:val="00C769B6"/>
    <w:rsid w:val="00C76D40"/>
    <w:rsid w:val="00C8192B"/>
    <w:rsid w:val="00C856D1"/>
    <w:rsid w:val="00C962DF"/>
    <w:rsid w:val="00C96A87"/>
    <w:rsid w:val="00C9773F"/>
    <w:rsid w:val="00CA7407"/>
    <w:rsid w:val="00CB6C9A"/>
    <w:rsid w:val="00CC07DF"/>
    <w:rsid w:val="00CD03FF"/>
    <w:rsid w:val="00CD47DD"/>
    <w:rsid w:val="00CD4B30"/>
    <w:rsid w:val="00CD5115"/>
    <w:rsid w:val="00CE1381"/>
    <w:rsid w:val="00CE40DE"/>
    <w:rsid w:val="00CE6E05"/>
    <w:rsid w:val="00CF2DFE"/>
    <w:rsid w:val="00D014B1"/>
    <w:rsid w:val="00D0199B"/>
    <w:rsid w:val="00D0579B"/>
    <w:rsid w:val="00D10BAC"/>
    <w:rsid w:val="00D11535"/>
    <w:rsid w:val="00D14855"/>
    <w:rsid w:val="00D15D38"/>
    <w:rsid w:val="00D263FF"/>
    <w:rsid w:val="00D33892"/>
    <w:rsid w:val="00D35243"/>
    <w:rsid w:val="00D423CE"/>
    <w:rsid w:val="00D44FA1"/>
    <w:rsid w:val="00D46658"/>
    <w:rsid w:val="00D47843"/>
    <w:rsid w:val="00D56AB1"/>
    <w:rsid w:val="00D577AB"/>
    <w:rsid w:val="00D6072D"/>
    <w:rsid w:val="00D609B8"/>
    <w:rsid w:val="00D6275E"/>
    <w:rsid w:val="00D707A2"/>
    <w:rsid w:val="00D75938"/>
    <w:rsid w:val="00D91A70"/>
    <w:rsid w:val="00D9550A"/>
    <w:rsid w:val="00D95927"/>
    <w:rsid w:val="00DA0BE3"/>
    <w:rsid w:val="00DC1B9F"/>
    <w:rsid w:val="00DC4B17"/>
    <w:rsid w:val="00DC55DE"/>
    <w:rsid w:val="00DD02EE"/>
    <w:rsid w:val="00DD4932"/>
    <w:rsid w:val="00DE1D10"/>
    <w:rsid w:val="00DE359C"/>
    <w:rsid w:val="00DF23DE"/>
    <w:rsid w:val="00DF779B"/>
    <w:rsid w:val="00E073D9"/>
    <w:rsid w:val="00E15FE8"/>
    <w:rsid w:val="00E205C1"/>
    <w:rsid w:val="00E233EF"/>
    <w:rsid w:val="00E2510C"/>
    <w:rsid w:val="00E25EA8"/>
    <w:rsid w:val="00E35CF5"/>
    <w:rsid w:val="00E37252"/>
    <w:rsid w:val="00E43BF9"/>
    <w:rsid w:val="00E4442A"/>
    <w:rsid w:val="00E45554"/>
    <w:rsid w:val="00E5020D"/>
    <w:rsid w:val="00E60B84"/>
    <w:rsid w:val="00E627E4"/>
    <w:rsid w:val="00E631F2"/>
    <w:rsid w:val="00E736B3"/>
    <w:rsid w:val="00E74A30"/>
    <w:rsid w:val="00E74DB0"/>
    <w:rsid w:val="00E801B0"/>
    <w:rsid w:val="00E91420"/>
    <w:rsid w:val="00E919B7"/>
    <w:rsid w:val="00EA6590"/>
    <w:rsid w:val="00EB5730"/>
    <w:rsid w:val="00EC1C9A"/>
    <w:rsid w:val="00ED3140"/>
    <w:rsid w:val="00ED3C2B"/>
    <w:rsid w:val="00EE6401"/>
    <w:rsid w:val="00EE7E2E"/>
    <w:rsid w:val="00EF20A8"/>
    <w:rsid w:val="00EF4979"/>
    <w:rsid w:val="00EF5C2A"/>
    <w:rsid w:val="00F02167"/>
    <w:rsid w:val="00F05A6A"/>
    <w:rsid w:val="00F1134C"/>
    <w:rsid w:val="00F12096"/>
    <w:rsid w:val="00F143F1"/>
    <w:rsid w:val="00F205DA"/>
    <w:rsid w:val="00F26425"/>
    <w:rsid w:val="00F2704F"/>
    <w:rsid w:val="00F3143B"/>
    <w:rsid w:val="00F357DE"/>
    <w:rsid w:val="00F43593"/>
    <w:rsid w:val="00F47C5E"/>
    <w:rsid w:val="00F50C3D"/>
    <w:rsid w:val="00F6150B"/>
    <w:rsid w:val="00F63ED2"/>
    <w:rsid w:val="00F652BA"/>
    <w:rsid w:val="00F6656F"/>
    <w:rsid w:val="00F822AC"/>
    <w:rsid w:val="00F83684"/>
    <w:rsid w:val="00FA645C"/>
    <w:rsid w:val="00FB09A6"/>
    <w:rsid w:val="00FB2FF3"/>
    <w:rsid w:val="00FB372F"/>
    <w:rsid w:val="00FB3939"/>
    <w:rsid w:val="00FB5421"/>
    <w:rsid w:val="00FC7156"/>
    <w:rsid w:val="00FC732A"/>
    <w:rsid w:val="00FC779B"/>
    <w:rsid w:val="00FD0CFC"/>
    <w:rsid w:val="00FD4DD3"/>
    <w:rsid w:val="00FD7A2B"/>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49683D9F"/>
  <w15:docId w15:val="{CA170212-FCBE-4428-9A81-3EFB4691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uiPriority w:val="59"/>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 content"/>
    <w:basedOn w:val="BodyText"/>
    <w:rsid w:val="00A353E5"/>
    <w:pPr>
      <w:spacing w:before="120" w:after="0" w:line="240" w:lineRule="auto"/>
    </w:pPr>
    <w:rPr>
      <w:rFonts w:ascii="Arial" w:eastAsia="Times New Roman" w:hAnsi="Arial"/>
      <w:sz w:val="18"/>
      <w:szCs w:val="24"/>
    </w:rPr>
  </w:style>
  <w:style w:type="paragraph" w:styleId="BodyText">
    <w:name w:val="Body Text"/>
    <w:basedOn w:val="Normal"/>
    <w:link w:val="BodyTextChar"/>
    <w:uiPriority w:val="99"/>
    <w:semiHidden/>
    <w:unhideWhenUsed/>
    <w:rsid w:val="00A353E5"/>
    <w:pPr>
      <w:spacing w:after="120"/>
    </w:pPr>
  </w:style>
  <w:style w:type="character" w:customStyle="1" w:styleId="BodyTextChar">
    <w:name w:val="Body Text Char"/>
    <w:basedOn w:val="DefaultParagraphFont"/>
    <w:link w:val="BodyText"/>
    <w:uiPriority w:val="99"/>
    <w:semiHidden/>
    <w:rsid w:val="00A353E5"/>
    <w:rPr>
      <w:rFonts w:ascii="Calibri" w:eastAsia="Calibri" w:hAnsi="Calibri" w:cs="Times New Roman"/>
    </w:rPr>
  </w:style>
  <w:style w:type="paragraph" w:customStyle="1" w:styleId="TableColumnLabels">
    <w:name w:val="Table Column Labels"/>
    <w:basedOn w:val="BodyText"/>
    <w:rsid w:val="004661E2"/>
    <w:pPr>
      <w:spacing w:before="60" w:after="60" w:line="240" w:lineRule="auto"/>
      <w:jc w:val="both"/>
    </w:pPr>
    <w:rPr>
      <w:rFonts w:ascii="Arial Bold" w:eastAsia="Times New Roman" w:hAnsi="Arial Bold"/>
      <w:b/>
      <w:bCs/>
      <w:color w:val="FFFFF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1721">
      <w:bodyDiv w:val="1"/>
      <w:marLeft w:val="0"/>
      <w:marRight w:val="0"/>
      <w:marTop w:val="0"/>
      <w:marBottom w:val="0"/>
      <w:divBdr>
        <w:top w:val="none" w:sz="0" w:space="0" w:color="auto"/>
        <w:left w:val="none" w:sz="0" w:space="0" w:color="auto"/>
        <w:bottom w:val="none" w:sz="0" w:space="0" w:color="auto"/>
        <w:right w:val="none" w:sz="0" w:space="0" w:color="auto"/>
      </w:divBdr>
      <w:divsChild>
        <w:div w:id="949583520">
          <w:marLeft w:val="0"/>
          <w:marRight w:val="0"/>
          <w:marTop w:val="0"/>
          <w:marBottom w:val="0"/>
          <w:divBdr>
            <w:top w:val="none" w:sz="0" w:space="0" w:color="auto"/>
            <w:left w:val="none" w:sz="0" w:space="0" w:color="auto"/>
            <w:bottom w:val="none" w:sz="0" w:space="0" w:color="auto"/>
            <w:right w:val="none" w:sz="0" w:space="0" w:color="auto"/>
          </w:divBdr>
          <w:divsChild>
            <w:div w:id="1547140223">
              <w:marLeft w:val="0"/>
              <w:marRight w:val="0"/>
              <w:marTop w:val="0"/>
              <w:marBottom w:val="0"/>
              <w:divBdr>
                <w:top w:val="none" w:sz="0" w:space="0" w:color="auto"/>
                <w:left w:val="none" w:sz="0" w:space="0" w:color="auto"/>
                <w:bottom w:val="none" w:sz="0" w:space="0" w:color="auto"/>
                <w:right w:val="none" w:sz="0" w:space="0" w:color="auto"/>
              </w:divBdr>
              <w:divsChild>
                <w:div w:id="521751743">
                  <w:marLeft w:val="0"/>
                  <w:marRight w:val="0"/>
                  <w:marTop w:val="0"/>
                  <w:marBottom w:val="0"/>
                  <w:divBdr>
                    <w:top w:val="none" w:sz="0" w:space="0" w:color="auto"/>
                    <w:left w:val="none" w:sz="0" w:space="0" w:color="auto"/>
                    <w:bottom w:val="none" w:sz="0" w:space="0" w:color="auto"/>
                    <w:right w:val="none" w:sz="0" w:space="0" w:color="auto"/>
                  </w:divBdr>
                  <w:divsChild>
                    <w:div w:id="1128549248">
                      <w:marLeft w:val="0"/>
                      <w:marRight w:val="0"/>
                      <w:marTop w:val="0"/>
                      <w:marBottom w:val="0"/>
                      <w:divBdr>
                        <w:top w:val="none" w:sz="0" w:space="0" w:color="auto"/>
                        <w:left w:val="none" w:sz="0" w:space="0" w:color="auto"/>
                        <w:bottom w:val="none" w:sz="0" w:space="0" w:color="auto"/>
                        <w:right w:val="none" w:sz="0" w:space="0" w:color="auto"/>
                      </w:divBdr>
                      <w:divsChild>
                        <w:div w:id="1380058341">
                          <w:marLeft w:val="0"/>
                          <w:marRight w:val="0"/>
                          <w:marTop w:val="0"/>
                          <w:marBottom w:val="0"/>
                          <w:divBdr>
                            <w:top w:val="none" w:sz="0" w:space="0" w:color="auto"/>
                            <w:left w:val="none" w:sz="0" w:space="0" w:color="auto"/>
                            <w:bottom w:val="none" w:sz="0" w:space="0" w:color="auto"/>
                            <w:right w:val="none" w:sz="0" w:space="0" w:color="auto"/>
                          </w:divBdr>
                          <w:divsChild>
                            <w:div w:id="332758497">
                              <w:marLeft w:val="0"/>
                              <w:marRight w:val="0"/>
                              <w:marTop w:val="0"/>
                              <w:marBottom w:val="0"/>
                              <w:divBdr>
                                <w:top w:val="none" w:sz="0" w:space="0" w:color="auto"/>
                                <w:left w:val="none" w:sz="0" w:space="0" w:color="auto"/>
                                <w:bottom w:val="none" w:sz="0" w:space="0" w:color="auto"/>
                                <w:right w:val="none" w:sz="0" w:space="0" w:color="auto"/>
                              </w:divBdr>
                              <w:divsChild>
                                <w:div w:id="3704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12556">
      <w:bodyDiv w:val="1"/>
      <w:marLeft w:val="0"/>
      <w:marRight w:val="0"/>
      <w:marTop w:val="0"/>
      <w:marBottom w:val="0"/>
      <w:divBdr>
        <w:top w:val="none" w:sz="0" w:space="0" w:color="auto"/>
        <w:left w:val="none" w:sz="0" w:space="0" w:color="auto"/>
        <w:bottom w:val="none" w:sz="0" w:space="0" w:color="auto"/>
        <w:right w:val="none" w:sz="0" w:space="0" w:color="auto"/>
      </w:divBdr>
    </w:div>
    <w:div w:id="52429459">
      <w:bodyDiv w:val="1"/>
      <w:marLeft w:val="0"/>
      <w:marRight w:val="0"/>
      <w:marTop w:val="0"/>
      <w:marBottom w:val="0"/>
      <w:divBdr>
        <w:top w:val="none" w:sz="0" w:space="0" w:color="auto"/>
        <w:left w:val="none" w:sz="0" w:space="0" w:color="auto"/>
        <w:bottom w:val="none" w:sz="0" w:space="0" w:color="auto"/>
        <w:right w:val="none" w:sz="0" w:space="0" w:color="auto"/>
      </w:divBdr>
    </w:div>
    <w:div w:id="74982898">
      <w:bodyDiv w:val="1"/>
      <w:marLeft w:val="0"/>
      <w:marRight w:val="0"/>
      <w:marTop w:val="0"/>
      <w:marBottom w:val="0"/>
      <w:divBdr>
        <w:top w:val="none" w:sz="0" w:space="0" w:color="auto"/>
        <w:left w:val="none" w:sz="0" w:space="0" w:color="auto"/>
        <w:bottom w:val="none" w:sz="0" w:space="0" w:color="auto"/>
        <w:right w:val="none" w:sz="0" w:space="0" w:color="auto"/>
      </w:divBdr>
    </w:div>
    <w:div w:id="143208558">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498010943">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49997114">
      <w:bodyDiv w:val="1"/>
      <w:marLeft w:val="0"/>
      <w:marRight w:val="0"/>
      <w:marTop w:val="0"/>
      <w:marBottom w:val="0"/>
      <w:divBdr>
        <w:top w:val="none" w:sz="0" w:space="0" w:color="auto"/>
        <w:left w:val="none" w:sz="0" w:space="0" w:color="auto"/>
        <w:bottom w:val="none" w:sz="0" w:space="0" w:color="auto"/>
        <w:right w:val="none" w:sz="0" w:space="0" w:color="auto"/>
      </w:divBdr>
      <w:divsChild>
        <w:div w:id="562448274">
          <w:marLeft w:val="547"/>
          <w:marRight w:val="0"/>
          <w:marTop w:val="288"/>
          <w:marBottom w:val="0"/>
          <w:divBdr>
            <w:top w:val="none" w:sz="0" w:space="0" w:color="auto"/>
            <w:left w:val="none" w:sz="0" w:space="0" w:color="auto"/>
            <w:bottom w:val="none" w:sz="0" w:space="0" w:color="auto"/>
            <w:right w:val="none" w:sz="0" w:space="0" w:color="auto"/>
          </w:divBdr>
        </w:div>
        <w:div w:id="1428231686">
          <w:marLeft w:val="547"/>
          <w:marRight w:val="0"/>
          <w:marTop w:val="288"/>
          <w:marBottom w:val="0"/>
          <w:divBdr>
            <w:top w:val="none" w:sz="0" w:space="0" w:color="auto"/>
            <w:left w:val="none" w:sz="0" w:space="0" w:color="auto"/>
            <w:bottom w:val="none" w:sz="0" w:space="0" w:color="auto"/>
            <w:right w:val="none" w:sz="0" w:space="0" w:color="auto"/>
          </w:divBdr>
        </w:div>
        <w:div w:id="42946179">
          <w:marLeft w:val="547"/>
          <w:marRight w:val="0"/>
          <w:marTop w:val="288"/>
          <w:marBottom w:val="0"/>
          <w:divBdr>
            <w:top w:val="none" w:sz="0" w:space="0" w:color="auto"/>
            <w:left w:val="none" w:sz="0" w:space="0" w:color="auto"/>
            <w:bottom w:val="none" w:sz="0" w:space="0" w:color="auto"/>
            <w:right w:val="none" w:sz="0" w:space="0" w:color="auto"/>
          </w:divBdr>
        </w:div>
        <w:div w:id="182088936">
          <w:marLeft w:val="547"/>
          <w:marRight w:val="0"/>
          <w:marTop w:val="288"/>
          <w:marBottom w:val="0"/>
          <w:divBdr>
            <w:top w:val="none" w:sz="0" w:space="0" w:color="auto"/>
            <w:left w:val="none" w:sz="0" w:space="0" w:color="auto"/>
            <w:bottom w:val="none" w:sz="0" w:space="0" w:color="auto"/>
            <w:right w:val="none" w:sz="0" w:space="0" w:color="auto"/>
          </w:divBdr>
        </w:div>
      </w:divsChild>
    </w:div>
    <w:div w:id="556471292">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867762632">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098256734">
      <w:bodyDiv w:val="1"/>
      <w:marLeft w:val="0"/>
      <w:marRight w:val="0"/>
      <w:marTop w:val="0"/>
      <w:marBottom w:val="0"/>
      <w:divBdr>
        <w:top w:val="none" w:sz="0" w:space="0" w:color="auto"/>
        <w:left w:val="none" w:sz="0" w:space="0" w:color="auto"/>
        <w:bottom w:val="none" w:sz="0" w:space="0" w:color="auto"/>
        <w:right w:val="none" w:sz="0" w:space="0" w:color="auto"/>
      </w:divBdr>
      <w:divsChild>
        <w:div w:id="277225102">
          <w:marLeft w:val="0"/>
          <w:marRight w:val="0"/>
          <w:marTop w:val="0"/>
          <w:marBottom w:val="0"/>
          <w:divBdr>
            <w:top w:val="none" w:sz="0" w:space="0" w:color="auto"/>
            <w:left w:val="none" w:sz="0" w:space="0" w:color="auto"/>
            <w:bottom w:val="none" w:sz="0" w:space="0" w:color="auto"/>
            <w:right w:val="none" w:sz="0" w:space="0" w:color="auto"/>
          </w:divBdr>
          <w:divsChild>
            <w:div w:id="1125149874">
              <w:marLeft w:val="0"/>
              <w:marRight w:val="0"/>
              <w:marTop w:val="0"/>
              <w:marBottom w:val="0"/>
              <w:divBdr>
                <w:top w:val="none" w:sz="0" w:space="0" w:color="auto"/>
                <w:left w:val="none" w:sz="0" w:space="0" w:color="auto"/>
                <w:bottom w:val="none" w:sz="0" w:space="0" w:color="auto"/>
                <w:right w:val="none" w:sz="0" w:space="0" w:color="auto"/>
              </w:divBdr>
              <w:divsChild>
                <w:div w:id="168721829">
                  <w:marLeft w:val="0"/>
                  <w:marRight w:val="0"/>
                  <w:marTop w:val="0"/>
                  <w:marBottom w:val="0"/>
                  <w:divBdr>
                    <w:top w:val="none" w:sz="0" w:space="0" w:color="auto"/>
                    <w:left w:val="none" w:sz="0" w:space="0" w:color="auto"/>
                    <w:bottom w:val="none" w:sz="0" w:space="0" w:color="auto"/>
                    <w:right w:val="none" w:sz="0" w:space="0" w:color="auto"/>
                  </w:divBdr>
                  <w:divsChild>
                    <w:div w:id="1611351362">
                      <w:marLeft w:val="0"/>
                      <w:marRight w:val="0"/>
                      <w:marTop w:val="0"/>
                      <w:marBottom w:val="0"/>
                      <w:divBdr>
                        <w:top w:val="none" w:sz="0" w:space="0" w:color="auto"/>
                        <w:left w:val="none" w:sz="0" w:space="0" w:color="auto"/>
                        <w:bottom w:val="none" w:sz="0" w:space="0" w:color="auto"/>
                        <w:right w:val="none" w:sz="0" w:space="0" w:color="auto"/>
                      </w:divBdr>
                      <w:divsChild>
                        <w:div w:id="1899320535">
                          <w:marLeft w:val="0"/>
                          <w:marRight w:val="0"/>
                          <w:marTop w:val="0"/>
                          <w:marBottom w:val="0"/>
                          <w:divBdr>
                            <w:top w:val="none" w:sz="0" w:space="0" w:color="auto"/>
                            <w:left w:val="none" w:sz="0" w:space="0" w:color="auto"/>
                            <w:bottom w:val="none" w:sz="0" w:space="0" w:color="auto"/>
                            <w:right w:val="none" w:sz="0" w:space="0" w:color="auto"/>
                          </w:divBdr>
                          <w:divsChild>
                            <w:div w:id="1646278466">
                              <w:marLeft w:val="0"/>
                              <w:marRight w:val="0"/>
                              <w:marTop w:val="0"/>
                              <w:marBottom w:val="0"/>
                              <w:divBdr>
                                <w:top w:val="none" w:sz="0" w:space="0" w:color="auto"/>
                                <w:left w:val="none" w:sz="0" w:space="0" w:color="auto"/>
                                <w:bottom w:val="none" w:sz="0" w:space="0" w:color="auto"/>
                                <w:right w:val="none" w:sz="0" w:space="0" w:color="auto"/>
                              </w:divBdr>
                              <w:divsChild>
                                <w:div w:id="172309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356924761">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917746295">
      <w:bodyDiv w:val="1"/>
      <w:marLeft w:val="0"/>
      <w:marRight w:val="0"/>
      <w:marTop w:val="0"/>
      <w:marBottom w:val="0"/>
      <w:divBdr>
        <w:top w:val="none" w:sz="0" w:space="0" w:color="auto"/>
        <w:left w:val="none" w:sz="0" w:space="0" w:color="auto"/>
        <w:bottom w:val="none" w:sz="0" w:space="0" w:color="auto"/>
        <w:right w:val="none" w:sz="0" w:space="0" w:color="auto"/>
      </w:divBdr>
      <w:divsChild>
        <w:div w:id="393044144">
          <w:marLeft w:val="0"/>
          <w:marRight w:val="0"/>
          <w:marTop w:val="0"/>
          <w:marBottom w:val="0"/>
          <w:divBdr>
            <w:top w:val="none" w:sz="0" w:space="0" w:color="auto"/>
            <w:left w:val="none" w:sz="0" w:space="0" w:color="auto"/>
            <w:bottom w:val="none" w:sz="0" w:space="0" w:color="auto"/>
            <w:right w:val="none" w:sz="0" w:space="0" w:color="auto"/>
          </w:divBdr>
          <w:divsChild>
            <w:div w:id="1011491576">
              <w:marLeft w:val="0"/>
              <w:marRight w:val="0"/>
              <w:marTop w:val="0"/>
              <w:marBottom w:val="0"/>
              <w:divBdr>
                <w:top w:val="none" w:sz="0" w:space="0" w:color="auto"/>
                <w:left w:val="none" w:sz="0" w:space="0" w:color="auto"/>
                <w:bottom w:val="none" w:sz="0" w:space="0" w:color="auto"/>
                <w:right w:val="none" w:sz="0" w:space="0" w:color="auto"/>
              </w:divBdr>
              <w:divsChild>
                <w:div w:id="1198809853">
                  <w:marLeft w:val="0"/>
                  <w:marRight w:val="0"/>
                  <w:marTop w:val="0"/>
                  <w:marBottom w:val="0"/>
                  <w:divBdr>
                    <w:top w:val="none" w:sz="0" w:space="0" w:color="auto"/>
                    <w:left w:val="none" w:sz="0" w:space="0" w:color="auto"/>
                    <w:bottom w:val="none" w:sz="0" w:space="0" w:color="auto"/>
                    <w:right w:val="none" w:sz="0" w:space="0" w:color="auto"/>
                  </w:divBdr>
                  <w:divsChild>
                    <w:div w:id="2109111667">
                      <w:marLeft w:val="0"/>
                      <w:marRight w:val="0"/>
                      <w:marTop w:val="0"/>
                      <w:marBottom w:val="0"/>
                      <w:divBdr>
                        <w:top w:val="none" w:sz="0" w:space="0" w:color="auto"/>
                        <w:left w:val="none" w:sz="0" w:space="0" w:color="auto"/>
                        <w:bottom w:val="none" w:sz="0" w:space="0" w:color="auto"/>
                        <w:right w:val="none" w:sz="0" w:space="0" w:color="auto"/>
                      </w:divBdr>
                      <w:divsChild>
                        <w:div w:id="1588658539">
                          <w:marLeft w:val="0"/>
                          <w:marRight w:val="0"/>
                          <w:marTop w:val="0"/>
                          <w:marBottom w:val="0"/>
                          <w:divBdr>
                            <w:top w:val="none" w:sz="0" w:space="0" w:color="auto"/>
                            <w:left w:val="none" w:sz="0" w:space="0" w:color="auto"/>
                            <w:bottom w:val="none" w:sz="0" w:space="0" w:color="auto"/>
                            <w:right w:val="none" w:sz="0" w:space="0" w:color="auto"/>
                          </w:divBdr>
                          <w:divsChild>
                            <w:div w:id="919753533">
                              <w:marLeft w:val="0"/>
                              <w:marRight w:val="0"/>
                              <w:marTop w:val="0"/>
                              <w:marBottom w:val="0"/>
                              <w:divBdr>
                                <w:top w:val="none" w:sz="0" w:space="0" w:color="auto"/>
                                <w:left w:val="none" w:sz="0" w:space="0" w:color="auto"/>
                                <w:bottom w:val="none" w:sz="0" w:space="0" w:color="auto"/>
                                <w:right w:val="none" w:sz="0" w:space="0" w:color="auto"/>
                              </w:divBdr>
                              <w:divsChild>
                                <w:div w:id="121184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25135108">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092464842">
      <w:bodyDiv w:val="1"/>
      <w:marLeft w:val="0"/>
      <w:marRight w:val="0"/>
      <w:marTop w:val="0"/>
      <w:marBottom w:val="0"/>
      <w:divBdr>
        <w:top w:val="none" w:sz="0" w:space="0" w:color="auto"/>
        <w:left w:val="none" w:sz="0" w:space="0" w:color="auto"/>
        <w:bottom w:val="none" w:sz="0" w:space="0" w:color="auto"/>
        <w:right w:val="none" w:sz="0" w:space="0" w:color="auto"/>
      </w:divBdr>
      <w:divsChild>
        <w:div w:id="1755471838">
          <w:marLeft w:val="0"/>
          <w:marRight w:val="0"/>
          <w:marTop w:val="0"/>
          <w:marBottom w:val="0"/>
          <w:divBdr>
            <w:top w:val="none" w:sz="0" w:space="0" w:color="auto"/>
            <w:left w:val="none" w:sz="0" w:space="0" w:color="auto"/>
            <w:bottom w:val="none" w:sz="0" w:space="0" w:color="auto"/>
            <w:right w:val="none" w:sz="0" w:space="0" w:color="auto"/>
          </w:divBdr>
          <w:divsChild>
            <w:div w:id="66003800">
              <w:marLeft w:val="0"/>
              <w:marRight w:val="0"/>
              <w:marTop w:val="0"/>
              <w:marBottom w:val="0"/>
              <w:divBdr>
                <w:top w:val="none" w:sz="0" w:space="0" w:color="auto"/>
                <w:left w:val="none" w:sz="0" w:space="0" w:color="auto"/>
                <w:bottom w:val="none" w:sz="0" w:space="0" w:color="auto"/>
                <w:right w:val="none" w:sz="0" w:space="0" w:color="auto"/>
              </w:divBdr>
              <w:divsChild>
                <w:div w:id="1949386186">
                  <w:marLeft w:val="0"/>
                  <w:marRight w:val="0"/>
                  <w:marTop w:val="0"/>
                  <w:marBottom w:val="0"/>
                  <w:divBdr>
                    <w:top w:val="none" w:sz="0" w:space="0" w:color="auto"/>
                    <w:left w:val="none" w:sz="0" w:space="0" w:color="auto"/>
                    <w:bottom w:val="none" w:sz="0" w:space="0" w:color="auto"/>
                    <w:right w:val="none" w:sz="0" w:space="0" w:color="auto"/>
                  </w:divBdr>
                  <w:divsChild>
                    <w:div w:id="767307579">
                      <w:marLeft w:val="0"/>
                      <w:marRight w:val="0"/>
                      <w:marTop w:val="0"/>
                      <w:marBottom w:val="0"/>
                      <w:divBdr>
                        <w:top w:val="none" w:sz="0" w:space="0" w:color="auto"/>
                        <w:left w:val="none" w:sz="0" w:space="0" w:color="auto"/>
                        <w:bottom w:val="none" w:sz="0" w:space="0" w:color="auto"/>
                        <w:right w:val="none" w:sz="0" w:space="0" w:color="auto"/>
                      </w:divBdr>
                      <w:divsChild>
                        <w:div w:id="1731415854">
                          <w:marLeft w:val="0"/>
                          <w:marRight w:val="0"/>
                          <w:marTop w:val="0"/>
                          <w:marBottom w:val="0"/>
                          <w:divBdr>
                            <w:top w:val="none" w:sz="0" w:space="0" w:color="auto"/>
                            <w:left w:val="none" w:sz="0" w:space="0" w:color="auto"/>
                            <w:bottom w:val="none" w:sz="0" w:space="0" w:color="auto"/>
                            <w:right w:val="none" w:sz="0" w:space="0" w:color="auto"/>
                          </w:divBdr>
                          <w:divsChild>
                            <w:div w:id="434911982">
                              <w:marLeft w:val="0"/>
                              <w:marRight w:val="0"/>
                              <w:marTop w:val="0"/>
                              <w:marBottom w:val="0"/>
                              <w:divBdr>
                                <w:top w:val="none" w:sz="0" w:space="0" w:color="auto"/>
                                <w:left w:val="none" w:sz="0" w:space="0" w:color="auto"/>
                                <w:bottom w:val="none" w:sz="0" w:space="0" w:color="auto"/>
                                <w:right w:val="none" w:sz="0" w:space="0" w:color="auto"/>
                              </w:divBdr>
                              <w:divsChild>
                                <w:div w:id="108653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98D8AD-2BBB-4B71-BB02-C85D5096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997</TotalTime>
  <Pages>8</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136</cp:revision>
  <dcterms:created xsi:type="dcterms:W3CDTF">2013-02-22T04:49:00Z</dcterms:created>
  <dcterms:modified xsi:type="dcterms:W3CDTF">2019-03-23T15:18:00Z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